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58FA56">
      <w:pPr>
        <w:rPr>
          <w:rFonts w:hint="eastAsia" w:ascii="仿宋_GB2312" w:eastAsia="仿宋_GB2312"/>
          <w:sz w:val="32"/>
          <w:szCs w:val="32"/>
          <w:lang w:eastAsia="zh-CN"/>
        </w:rPr>
      </w:pPr>
      <w:r>
        <w:rPr>
          <w:rFonts w:hint="eastAsia" w:ascii="仿宋_GB2312" w:eastAsia="仿宋_GB2312"/>
          <w:sz w:val="32"/>
          <w:szCs w:val="32"/>
        </w:rPr>
        <w:t>附件1</w:t>
      </w:r>
      <w:r>
        <w:rPr>
          <w:rFonts w:hint="eastAsia" w:ascii="仿宋_GB2312" w:eastAsia="仿宋_GB2312"/>
          <w:sz w:val="32"/>
          <w:szCs w:val="32"/>
          <w:lang w:eastAsia="zh-CN"/>
        </w:rPr>
        <w:t>：</w:t>
      </w:r>
      <w:bookmarkStart w:id="0" w:name="_GoBack"/>
      <w:bookmarkEnd w:id="0"/>
    </w:p>
    <w:p w14:paraId="15BCEC94">
      <w:pPr>
        <w:jc w:val="center"/>
        <w:rPr>
          <w:rFonts w:hint="eastAsia" w:ascii="宋体" w:hAnsi="宋体" w:eastAsia="宋体" w:cs="宋体"/>
          <w:sz w:val="32"/>
          <w:szCs w:val="32"/>
        </w:rPr>
      </w:pPr>
      <w:r>
        <w:rPr>
          <w:rFonts w:hint="eastAsia" w:ascii="宋体" w:hAnsi="宋体" w:eastAsia="宋体" w:cs="宋体"/>
          <w:sz w:val="32"/>
          <w:szCs w:val="32"/>
        </w:rPr>
        <w:t>智慧医院信息系统软件订阅服务需求</w:t>
      </w:r>
    </w:p>
    <w:tbl>
      <w:tblPr>
        <w:tblStyle w:val="10"/>
        <w:tblW w:w="507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346"/>
        <w:gridCol w:w="5594"/>
        <w:gridCol w:w="1249"/>
      </w:tblGrid>
      <w:tr w14:paraId="73184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4" w:type="pct"/>
            <w:vAlign w:val="center"/>
          </w:tcPr>
          <w:p w14:paraId="607C1267">
            <w:pPr>
              <w:snapToGrid w:val="0"/>
              <w:spacing w:line="360" w:lineRule="auto"/>
              <w:jc w:val="center"/>
              <w:rPr>
                <w:rFonts w:ascii="宋体" w:hAnsi="宋体"/>
                <w:sz w:val="24"/>
              </w:rPr>
            </w:pPr>
            <w:r>
              <w:rPr>
                <w:rFonts w:hint="eastAsia" w:ascii="宋体" w:hAnsi="宋体"/>
                <w:sz w:val="24"/>
              </w:rPr>
              <w:t>序号</w:t>
            </w:r>
          </w:p>
        </w:tc>
        <w:tc>
          <w:tcPr>
            <w:tcW w:w="778" w:type="pct"/>
            <w:vAlign w:val="center"/>
          </w:tcPr>
          <w:p w14:paraId="216214E0">
            <w:pPr>
              <w:snapToGrid w:val="0"/>
              <w:spacing w:line="360" w:lineRule="auto"/>
              <w:jc w:val="center"/>
              <w:rPr>
                <w:rFonts w:hint="default" w:ascii="宋体" w:hAnsi="宋体" w:eastAsia="宋体"/>
                <w:sz w:val="24"/>
                <w:lang w:val="en-US" w:eastAsia="zh-CN"/>
              </w:rPr>
            </w:pPr>
            <w:r>
              <w:rPr>
                <w:rFonts w:hint="eastAsia" w:ascii="宋体" w:hAnsi="宋体"/>
                <w:sz w:val="24"/>
                <w:lang w:val="en-US" w:eastAsia="zh-CN"/>
              </w:rPr>
              <w:t>功能版块</w:t>
            </w:r>
          </w:p>
        </w:tc>
        <w:tc>
          <w:tcPr>
            <w:tcW w:w="3234" w:type="pct"/>
            <w:vAlign w:val="center"/>
          </w:tcPr>
          <w:p w14:paraId="1739A70E">
            <w:pPr>
              <w:snapToGrid w:val="0"/>
              <w:spacing w:line="360" w:lineRule="auto"/>
              <w:jc w:val="center"/>
              <w:rPr>
                <w:rFonts w:ascii="宋体" w:hAnsi="宋体"/>
                <w:sz w:val="24"/>
              </w:rPr>
            </w:pPr>
            <w:r>
              <w:rPr>
                <w:rFonts w:hint="eastAsia" w:ascii="宋体" w:hAnsi="宋体"/>
                <w:sz w:val="24"/>
              </w:rPr>
              <w:t>服务需求说明</w:t>
            </w:r>
          </w:p>
        </w:tc>
        <w:tc>
          <w:tcPr>
            <w:tcW w:w="722" w:type="pct"/>
            <w:vAlign w:val="center"/>
          </w:tcPr>
          <w:p w14:paraId="29149F49">
            <w:pPr>
              <w:snapToGrid w:val="0"/>
              <w:spacing w:line="360" w:lineRule="auto"/>
              <w:jc w:val="center"/>
              <w:rPr>
                <w:rFonts w:ascii="宋体" w:hAnsi="宋体"/>
                <w:sz w:val="24"/>
              </w:rPr>
            </w:pPr>
            <w:r>
              <w:rPr>
                <w:rFonts w:hint="eastAsia" w:ascii="宋体" w:hAnsi="宋体"/>
                <w:sz w:val="24"/>
              </w:rPr>
              <w:t>备注</w:t>
            </w:r>
          </w:p>
        </w:tc>
      </w:tr>
      <w:tr w14:paraId="06A55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2D2120C">
            <w:pPr>
              <w:numPr>
                <w:ilvl w:val="0"/>
                <w:numId w:val="1"/>
              </w:numPr>
              <w:snapToGrid w:val="0"/>
              <w:spacing w:line="360" w:lineRule="auto"/>
              <w:jc w:val="center"/>
              <w:rPr>
                <w:rFonts w:ascii="宋体" w:hAnsi="宋体"/>
                <w:sz w:val="24"/>
              </w:rPr>
            </w:pPr>
          </w:p>
        </w:tc>
        <w:tc>
          <w:tcPr>
            <w:tcW w:w="778" w:type="pct"/>
            <w:vAlign w:val="center"/>
          </w:tcPr>
          <w:p w14:paraId="18CF9302">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重症监护信息系统</w:t>
            </w:r>
          </w:p>
        </w:tc>
        <w:tc>
          <w:tcPr>
            <w:tcW w:w="3234" w:type="pct"/>
            <w:vAlign w:val="center"/>
          </w:tcPr>
          <w:p w14:paraId="5917DFE0">
            <w:pPr>
              <w:snapToGrid w:val="0"/>
              <w:spacing w:line="360" w:lineRule="auto"/>
              <w:jc w:val="center"/>
              <w:rPr>
                <w:rFonts w:ascii="宋体" w:hAnsi="宋体"/>
                <w:sz w:val="24"/>
              </w:rPr>
            </w:pPr>
            <w:r>
              <w:rPr>
                <w:rFonts w:hint="eastAsia" w:ascii="宋体" w:hAnsi="宋体"/>
                <w:sz w:val="24"/>
              </w:rPr>
              <w:t>主要实现重症监护室相关护理项目、体液监测、评估计算、管道与皮肤黏膜、护理记录与病情观察、数据采集平台、科室管理、患者总览、</w:t>
            </w:r>
            <w:r>
              <w:rPr>
                <w:rFonts w:hint="eastAsia" w:ascii="宋体" w:hAnsi="宋体"/>
                <w:color w:val="000000"/>
                <w:kern w:val="0"/>
                <w:sz w:val="24"/>
              </w:rPr>
              <w:t>需要连接监护仪</w:t>
            </w:r>
            <w:r>
              <w:rPr>
                <w:rFonts w:hint="eastAsia" w:ascii="宋体" w:hAnsi="宋体"/>
                <w:sz w:val="24"/>
              </w:rPr>
              <w:t>等功能。</w:t>
            </w:r>
          </w:p>
        </w:tc>
        <w:tc>
          <w:tcPr>
            <w:tcW w:w="722" w:type="pct"/>
            <w:vAlign w:val="center"/>
          </w:tcPr>
          <w:p w14:paraId="16F7FF6B">
            <w:pPr>
              <w:widowControl/>
              <w:snapToGrid w:val="0"/>
              <w:spacing w:line="360" w:lineRule="auto"/>
              <w:jc w:val="center"/>
              <w:textAlignment w:val="center"/>
              <w:rPr>
                <w:rFonts w:ascii="宋体" w:hAnsi="宋体"/>
                <w:color w:val="000000"/>
                <w:kern w:val="0"/>
                <w:sz w:val="24"/>
              </w:rPr>
            </w:pPr>
          </w:p>
        </w:tc>
      </w:tr>
      <w:tr w14:paraId="09A4C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4FC7549D">
            <w:pPr>
              <w:numPr>
                <w:ilvl w:val="0"/>
                <w:numId w:val="1"/>
              </w:numPr>
              <w:snapToGrid w:val="0"/>
              <w:spacing w:line="360" w:lineRule="auto"/>
              <w:jc w:val="center"/>
              <w:rPr>
                <w:rFonts w:ascii="宋体" w:hAnsi="宋体"/>
                <w:sz w:val="24"/>
              </w:rPr>
            </w:pPr>
          </w:p>
        </w:tc>
        <w:tc>
          <w:tcPr>
            <w:tcW w:w="778" w:type="pct"/>
            <w:vAlign w:val="center"/>
          </w:tcPr>
          <w:p w14:paraId="219426B4">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康复信息管理系统</w:t>
            </w:r>
          </w:p>
        </w:tc>
        <w:tc>
          <w:tcPr>
            <w:tcW w:w="3234" w:type="pct"/>
            <w:vAlign w:val="center"/>
          </w:tcPr>
          <w:p w14:paraId="6C789649">
            <w:pPr>
              <w:snapToGrid w:val="0"/>
              <w:spacing w:line="360" w:lineRule="auto"/>
              <w:jc w:val="center"/>
              <w:rPr>
                <w:rFonts w:ascii="宋体" w:hAnsi="宋体"/>
                <w:sz w:val="24"/>
              </w:rPr>
            </w:pPr>
            <w:r>
              <w:rPr>
                <w:rFonts w:hint="eastAsia" w:ascii="宋体" w:hAnsi="宋体"/>
                <w:sz w:val="24"/>
              </w:rPr>
              <w:t>满足康复科对患者管理、康复治疗、康复记录、查询统计、数据维护等需求</w:t>
            </w:r>
          </w:p>
        </w:tc>
        <w:tc>
          <w:tcPr>
            <w:tcW w:w="722" w:type="pct"/>
            <w:vAlign w:val="center"/>
          </w:tcPr>
          <w:p w14:paraId="7ADBAABA">
            <w:pPr>
              <w:widowControl/>
              <w:snapToGrid w:val="0"/>
              <w:spacing w:line="360" w:lineRule="auto"/>
              <w:jc w:val="center"/>
              <w:textAlignment w:val="center"/>
              <w:rPr>
                <w:rFonts w:ascii="宋体" w:hAnsi="宋体"/>
                <w:color w:val="000000"/>
                <w:kern w:val="0"/>
                <w:sz w:val="24"/>
              </w:rPr>
            </w:pPr>
          </w:p>
        </w:tc>
      </w:tr>
      <w:tr w14:paraId="088F3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2F2917EA">
            <w:pPr>
              <w:numPr>
                <w:ilvl w:val="0"/>
                <w:numId w:val="1"/>
              </w:numPr>
              <w:snapToGrid w:val="0"/>
              <w:spacing w:line="360" w:lineRule="auto"/>
              <w:jc w:val="center"/>
              <w:rPr>
                <w:rFonts w:ascii="宋体" w:hAnsi="宋体"/>
                <w:sz w:val="24"/>
              </w:rPr>
            </w:pPr>
          </w:p>
        </w:tc>
        <w:tc>
          <w:tcPr>
            <w:tcW w:w="778" w:type="pct"/>
            <w:vAlign w:val="center"/>
          </w:tcPr>
          <w:p w14:paraId="077CD561">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电子病历归档无纸化</w:t>
            </w:r>
          </w:p>
        </w:tc>
        <w:tc>
          <w:tcPr>
            <w:tcW w:w="3234" w:type="pct"/>
            <w:vAlign w:val="center"/>
          </w:tcPr>
          <w:p w14:paraId="35546368">
            <w:pPr>
              <w:snapToGrid w:val="0"/>
              <w:spacing w:line="360" w:lineRule="auto"/>
              <w:jc w:val="center"/>
              <w:rPr>
                <w:rFonts w:ascii="宋体" w:hAnsi="宋体"/>
                <w:sz w:val="24"/>
              </w:rPr>
            </w:pPr>
            <w:r>
              <w:rPr>
                <w:rFonts w:hint="eastAsia" w:ascii="宋体" w:hAnsi="宋体"/>
                <w:sz w:val="24"/>
              </w:rPr>
              <w:t>主要满足病案室对病历文件的生成/打印、纸质病历翻拍录入、无纸化病历查看、图片上传与下载、临床科室翻拍、回收临床科室翻拍的文件、翻拍生成的电子病历统计分析、电子病历的下载/打印的分析、归档文件维护、打印用途维护等需求。</w:t>
            </w:r>
          </w:p>
        </w:tc>
        <w:tc>
          <w:tcPr>
            <w:tcW w:w="722" w:type="pct"/>
            <w:vAlign w:val="center"/>
          </w:tcPr>
          <w:p w14:paraId="5073AA4A">
            <w:pPr>
              <w:widowControl/>
              <w:snapToGrid w:val="0"/>
              <w:spacing w:line="360" w:lineRule="auto"/>
              <w:jc w:val="center"/>
              <w:textAlignment w:val="center"/>
              <w:rPr>
                <w:rFonts w:ascii="宋体" w:hAnsi="宋体"/>
                <w:color w:val="000000"/>
                <w:kern w:val="0"/>
                <w:sz w:val="24"/>
              </w:rPr>
            </w:pPr>
          </w:p>
        </w:tc>
      </w:tr>
      <w:tr w14:paraId="4A875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56157564">
            <w:pPr>
              <w:numPr>
                <w:ilvl w:val="0"/>
                <w:numId w:val="1"/>
              </w:numPr>
              <w:snapToGrid w:val="0"/>
              <w:spacing w:line="360" w:lineRule="auto"/>
              <w:jc w:val="center"/>
              <w:rPr>
                <w:rFonts w:ascii="宋体" w:hAnsi="宋体"/>
                <w:sz w:val="24"/>
              </w:rPr>
            </w:pPr>
          </w:p>
        </w:tc>
        <w:tc>
          <w:tcPr>
            <w:tcW w:w="778" w:type="pct"/>
            <w:vAlign w:val="center"/>
          </w:tcPr>
          <w:p w14:paraId="0EF1774F">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单病种质量控制系统</w:t>
            </w:r>
          </w:p>
        </w:tc>
        <w:tc>
          <w:tcPr>
            <w:tcW w:w="3234" w:type="pct"/>
            <w:vAlign w:val="center"/>
          </w:tcPr>
          <w:p w14:paraId="57B485A9">
            <w:pPr>
              <w:snapToGrid w:val="0"/>
              <w:spacing w:line="360" w:lineRule="auto"/>
              <w:jc w:val="center"/>
              <w:rPr>
                <w:rFonts w:ascii="宋体" w:hAnsi="宋体"/>
                <w:sz w:val="24"/>
              </w:rPr>
            </w:pPr>
            <w:r>
              <w:rPr>
                <w:rFonts w:hint="eastAsia" w:ascii="宋体" w:hAnsi="宋体"/>
                <w:sz w:val="24"/>
              </w:rPr>
              <w:t>满足医务科对单病种相关的考核统计、上报等需求。</w:t>
            </w:r>
          </w:p>
        </w:tc>
        <w:tc>
          <w:tcPr>
            <w:tcW w:w="722" w:type="pct"/>
            <w:vAlign w:val="center"/>
          </w:tcPr>
          <w:p w14:paraId="27A74A04">
            <w:pPr>
              <w:widowControl/>
              <w:snapToGrid w:val="0"/>
              <w:spacing w:line="360" w:lineRule="auto"/>
              <w:jc w:val="center"/>
              <w:textAlignment w:val="center"/>
              <w:rPr>
                <w:rFonts w:ascii="宋体" w:hAnsi="宋体"/>
                <w:color w:val="000000"/>
                <w:kern w:val="0"/>
                <w:sz w:val="24"/>
              </w:rPr>
            </w:pPr>
          </w:p>
        </w:tc>
      </w:tr>
      <w:tr w14:paraId="464D8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3D47F979">
            <w:pPr>
              <w:numPr>
                <w:ilvl w:val="0"/>
                <w:numId w:val="1"/>
              </w:numPr>
              <w:snapToGrid w:val="0"/>
              <w:spacing w:line="360" w:lineRule="auto"/>
              <w:jc w:val="center"/>
              <w:rPr>
                <w:rFonts w:ascii="宋体" w:hAnsi="宋体"/>
                <w:sz w:val="24"/>
              </w:rPr>
            </w:pPr>
          </w:p>
        </w:tc>
        <w:tc>
          <w:tcPr>
            <w:tcW w:w="778" w:type="pct"/>
            <w:vAlign w:val="center"/>
          </w:tcPr>
          <w:p w14:paraId="781A2DB5">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核心制度监测指标上报系统</w:t>
            </w:r>
          </w:p>
        </w:tc>
        <w:tc>
          <w:tcPr>
            <w:tcW w:w="3234" w:type="pct"/>
            <w:vAlign w:val="center"/>
          </w:tcPr>
          <w:p w14:paraId="17E1107E">
            <w:pPr>
              <w:snapToGrid w:val="0"/>
              <w:spacing w:line="360" w:lineRule="auto"/>
              <w:jc w:val="center"/>
              <w:rPr>
                <w:rFonts w:ascii="宋体" w:hAnsi="宋体"/>
                <w:sz w:val="24"/>
              </w:rPr>
            </w:pPr>
            <w:r>
              <w:rPr>
                <w:rFonts w:hint="eastAsia" w:ascii="宋体" w:hAnsi="宋体"/>
                <w:sz w:val="24"/>
              </w:rPr>
              <w:t>满足质控科、质控办对核心制度监测指标、指标上报等需求。</w:t>
            </w:r>
          </w:p>
        </w:tc>
        <w:tc>
          <w:tcPr>
            <w:tcW w:w="722" w:type="pct"/>
            <w:vAlign w:val="center"/>
          </w:tcPr>
          <w:p w14:paraId="56E4C855">
            <w:pPr>
              <w:widowControl/>
              <w:snapToGrid w:val="0"/>
              <w:spacing w:line="360" w:lineRule="auto"/>
              <w:jc w:val="center"/>
              <w:textAlignment w:val="center"/>
              <w:rPr>
                <w:rFonts w:ascii="宋体" w:hAnsi="宋体"/>
                <w:color w:val="000000"/>
                <w:kern w:val="0"/>
                <w:sz w:val="24"/>
              </w:rPr>
            </w:pPr>
          </w:p>
        </w:tc>
      </w:tr>
      <w:tr w14:paraId="7288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5BEC997">
            <w:pPr>
              <w:numPr>
                <w:ilvl w:val="0"/>
                <w:numId w:val="1"/>
              </w:numPr>
              <w:snapToGrid w:val="0"/>
              <w:spacing w:line="360" w:lineRule="auto"/>
              <w:jc w:val="center"/>
              <w:rPr>
                <w:rFonts w:ascii="宋体" w:hAnsi="宋体"/>
                <w:sz w:val="24"/>
              </w:rPr>
            </w:pPr>
          </w:p>
        </w:tc>
        <w:tc>
          <w:tcPr>
            <w:tcW w:w="778" w:type="pct"/>
            <w:vAlign w:val="center"/>
          </w:tcPr>
          <w:p w14:paraId="0518FBC9">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肿瘤患者管理系统</w:t>
            </w:r>
          </w:p>
        </w:tc>
        <w:tc>
          <w:tcPr>
            <w:tcW w:w="3234" w:type="pct"/>
            <w:vAlign w:val="center"/>
          </w:tcPr>
          <w:p w14:paraId="1DABBF1B">
            <w:pPr>
              <w:snapToGrid w:val="0"/>
              <w:spacing w:line="360" w:lineRule="auto"/>
              <w:jc w:val="center"/>
              <w:rPr>
                <w:rFonts w:ascii="宋体" w:hAnsi="宋体"/>
                <w:sz w:val="24"/>
              </w:rPr>
            </w:pPr>
            <w:r>
              <w:rPr>
                <w:rFonts w:hint="eastAsia" w:ascii="宋体" w:hAnsi="宋体"/>
                <w:sz w:val="24"/>
              </w:rPr>
              <w:t>满足医院对疑似肿瘤患者上报与查看、MDT会诊、制定治疗方案、患者管理、档案管理、文章管理、远程管理、宣教管理、筛查规则维护、</w:t>
            </w:r>
            <w:r>
              <w:rPr>
                <w:rFonts w:hint="eastAsia" w:ascii="宋体" w:hAnsi="宋体"/>
                <w:color w:val="000000"/>
                <w:kern w:val="0"/>
                <w:sz w:val="24"/>
              </w:rPr>
              <w:t>县域防治</w:t>
            </w:r>
            <w:r>
              <w:rPr>
                <w:rFonts w:hint="eastAsia" w:ascii="宋体" w:hAnsi="宋体"/>
                <w:sz w:val="24"/>
              </w:rPr>
              <w:t>等需求。</w:t>
            </w:r>
          </w:p>
          <w:p w14:paraId="0BAB18C4">
            <w:pPr>
              <w:snapToGrid w:val="0"/>
              <w:spacing w:line="360" w:lineRule="auto"/>
              <w:jc w:val="center"/>
              <w:rPr>
                <w:rFonts w:ascii="宋体" w:hAnsi="宋体"/>
                <w:sz w:val="24"/>
              </w:rPr>
            </w:pPr>
          </w:p>
        </w:tc>
        <w:tc>
          <w:tcPr>
            <w:tcW w:w="722" w:type="pct"/>
            <w:vAlign w:val="center"/>
          </w:tcPr>
          <w:p w14:paraId="6C60CC0C">
            <w:pPr>
              <w:widowControl/>
              <w:snapToGrid w:val="0"/>
              <w:spacing w:line="360" w:lineRule="auto"/>
              <w:jc w:val="center"/>
              <w:textAlignment w:val="center"/>
              <w:rPr>
                <w:rFonts w:ascii="宋体" w:hAnsi="宋体"/>
                <w:color w:val="000000"/>
                <w:kern w:val="0"/>
                <w:sz w:val="24"/>
              </w:rPr>
            </w:pPr>
          </w:p>
        </w:tc>
      </w:tr>
      <w:tr w14:paraId="058A6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38355CDA">
            <w:pPr>
              <w:numPr>
                <w:ilvl w:val="0"/>
                <w:numId w:val="1"/>
              </w:numPr>
              <w:snapToGrid w:val="0"/>
              <w:spacing w:line="360" w:lineRule="auto"/>
              <w:jc w:val="center"/>
              <w:rPr>
                <w:rFonts w:ascii="宋体" w:hAnsi="宋体"/>
                <w:sz w:val="24"/>
              </w:rPr>
            </w:pPr>
          </w:p>
        </w:tc>
        <w:tc>
          <w:tcPr>
            <w:tcW w:w="778" w:type="pct"/>
            <w:vAlign w:val="center"/>
          </w:tcPr>
          <w:p w14:paraId="256B8FA0">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病案首页质量控制系统</w:t>
            </w:r>
          </w:p>
        </w:tc>
        <w:tc>
          <w:tcPr>
            <w:tcW w:w="3234" w:type="pct"/>
            <w:vAlign w:val="center"/>
          </w:tcPr>
          <w:p w14:paraId="117567EE">
            <w:pPr>
              <w:snapToGrid w:val="0"/>
              <w:spacing w:line="360" w:lineRule="auto"/>
              <w:jc w:val="center"/>
              <w:rPr>
                <w:rFonts w:ascii="宋体" w:hAnsi="宋体"/>
                <w:sz w:val="24"/>
              </w:rPr>
            </w:pPr>
            <w:r>
              <w:rPr>
                <w:rFonts w:hint="eastAsia" w:ascii="宋体" w:hAnsi="宋体"/>
                <w:sz w:val="24"/>
              </w:rPr>
              <w:t>满足病案室对病案质控全周期、多维度统计分析等需求。</w:t>
            </w:r>
          </w:p>
        </w:tc>
        <w:tc>
          <w:tcPr>
            <w:tcW w:w="722" w:type="pct"/>
            <w:vAlign w:val="center"/>
          </w:tcPr>
          <w:p w14:paraId="5A3C2A2C">
            <w:pPr>
              <w:widowControl/>
              <w:snapToGrid w:val="0"/>
              <w:spacing w:line="360" w:lineRule="auto"/>
              <w:jc w:val="center"/>
              <w:textAlignment w:val="center"/>
              <w:rPr>
                <w:rFonts w:ascii="宋体" w:hAnsi="宋体"/>
                <w:color w:val="000000"/>
                <w:kern w:val="0"/>
                <w:sz w:val="24"/>
              </w:rPr>
            </w:pPr>
          </w:p>
        </w:tc>
      </w:tr>
      <w:tr w14:paraId="29D5B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47A172E">
            <w:pPr>
              <w:numPr>
                <w:ilvl w:val="0"/>
                <w:numId w:val="1"/>
              </w:numPr>
              <w:snapToGrid w:val="0"/>
              <w:spacing w:line="360" w:lineRule="auto"/>
              <w:jc w:val="center"/>
              <w:rPr>
                <w:rFonts w:ascii="宋体" w:hAnsi="宋体"/>
                <w:sz w:val="24"/>
              </w:rPr>
            </w:pPr>
          </w:p>
        </w:tc>
        <w:tc>
          <w:tcPr>
            <w:tcW w:w="778" w:type="pct"/>
            <w:vAlign w:val="center"/>
          </w:tcPr>
          <w:p w14:paraId="06A04298">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门（急）诊输液系统</w:t>
            </w:r>
          </w:p>
        </w:tc>
        <w:tc>
          <w:tcPr>
            <w:tcW w:w="3234" w:type="pct"/>
            <w:vAlign w:val="center"/>
          </w:tcPr>
          <w:p w14:paraId="7EE09DA6">
            <w:pPr>
              <w:snapToGrid w:val="0"/>
              <w:spacing w:line="360" w:lineRule="auto"/>
              <w:jc w:val="center"/>
              <w:rPr>
                <w:rFonts w:ascii="宋体" w:hAnsi="宋体"/>
                <w:sz w:val="24"/>
              </w:rPr>
            </w:pPr>
            <w:r>
              <w:rPr>
                <w:rFonts w:hint="eastAsia" w:ascii="宋体" w:hAnsi="宋体"/>
                <w:sz w:val="24"/>
              </w:rPr>
              <w:t>满足急诊科关于患者信息、皮试、输液接单、输液执行、综合查询、退费申请、</w:t>
            </w:r>
            <w:r>
              <w:rPr>
                <w:rFonts w:hint="eastAsia" w:ascii="宋体" w:hAnsi="宋体"/>
                <w:color w:val="000000"/>
                <w:kern w:val="0"/>
                <w:sz w:val="24"/>
              </w:rPr>
              <w:t>儿科门诊急诊输液</w:t>
            </w:r>
            <w:r>
              <w:rPr>
                <w:rFonts w:hint="eastAsia" w:ascii="宋体" w:hAnsi="宋体"/>
                <w:sz w:val="24"/>
              </w:rPr>
              <w:t>等相关需求。</w:t>
            </w:r>
          </w:p>
        </w:tc>
        <w:tc>
          <w:tcPr>
            <w:tcW w:w="722" w:type="pct"/>
            <w:vAlign w:val="center"/>
          </w:tcPr>
          <w:p w14:paraId="35CF2169">
            <w:pPr>
              <w:widowControl/>
              <w:snapToGrid w:val="0"/>
              <w:spacing w:line="360" w:lineRule="auto"/>
              <w:jc w:val="center"/>
              <w:textAlignment w:val="center"/>
              <w:rPr>
                <w:rFonts w:ascii="宋体" w:hAnsi="宋体"/>
                <w:color w:val="000000"/>
                <w:kern w:val="0"/>
                <w:sz w:val="24"/>
              </w:rPr>
            </w:pPr>
          </w:p>
        </w:tc>
      </w:tr>
      <w:tr w14:paraId="75F6F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7ACF87A">
            <w:pPr>
              <w:numPr>
                <w:ilvl w:val="0"/>
                <w:numId w:val="1"/>
              </w:numPr>
              <w:snapToGrid w:val="0"/>
              <w:spacing w:line="360" w:lineRule="auto"/>
              <w:jc w:val="center"/>
              <w:rPr>
                <w:rFonts w:ascii="宋体" w:hAnsi="宋体"/>
                <w:sz w:val="24"/>
              </w:rPr>
            </w:pPr>
          </w:p>
        </w:tc>
        <w:tc>
          <w:tcPr>
            <w:tcW w:w="778" w:type="pct"/>
            <w:vAlign w:val="center"/>
          </w:tcPr>
          <w:p w14:paraId="36FCEDA9">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公共卫生上报系统</w:t>
            </w:r>
          </w:p>
        </w:tc>
        <w:tc>
          <w:tcPr>
            <w:tcW w:w="3234" w:type="pct"/>
            <w:vAlign w:val="center"/>
          </w:tcPr>
          <w:p w14:paraId="36D059BE">
            <w:pPr>
              <w:snapToGrid w:val="0"/>
              <w:spacing w:line="360" w:lineRule="auto"/>
              <w:jc w:val="center"/>
              <w:rPr>
                <w:rFonts w:ascii="宋体" w:hAnsi="宋体"/>
                <w:sz w:val="24"/>
              </w:rPr>
            </w:pPr>
            <w:r>
              <w:rPr>
                <w:rFonts w:hint="eastAsia" w:ascii="宋体" w:hAnsi="宋体"/>
                <w:sz w:val="24"/>
              </w:rPr>
              <w:t>主要满足医院对上报管理、查询管理、统计分析、对接平台等需求。</w:t>
            </w:r>
          </w:p>
        </w:tc>
        <w:tc>
          <w:tcPr>
            <w:tcW w:w="722" w:type="pct"/>
            <w:vAlign w:val="center"/>
          </w:tcPr>
          <w:p w14:paraId="37193D77">
            <w:pPr>
              <w:widowControl/>
              <w:snapToGrid w:val="0"/>
              <w:spacing w:line="360" w:lineRule="auto"/>
              <w:jc w:val="center"/>
              <w:textAlignment w:val="center"/>
              <w:rPr>
                <w:rFonts w:ascii="宋体" w:hAnsi="宋体"/>
                <w:color w:val="000000"/>
                <w:kern w:val="0"/>
                <w:sz w:val="24"/>
              </w:rPr>
            </w:pPr>
          </w:p>
        </w:tc>
      </w:tr>
      <w:tr w14:paraId="3835E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1481544A">
            <w:pPr>
              <w:numPr>
                <w:ilvl w:val="0"/>
                <w:numId w:val="1"/>
              </w:numPr>
              <w:snapToGrid w:val="0"/>
              <w:spacing w:line="360" w:lineRule="auto"/>
              <w:jc w:val="center"/>
              <w:rPr>
                <w:rFonts w:ascii="宋体" w:hAnsi="宋体"/>
                <w:sz w:val="24"/>
              </w:rPr>
            </w:pPr>
          </w:p>
        </w:tc>
        <w:tc>
          <w:tcPr>
            <w:tcW w:w="778" w:type="pct"/>
            <w:vAlign w:val="center"/>
          </w:tcPr>
          <w:p w14:paraId="5271FC2D">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医院不良事件管理系统</w:t>
            </w:r>
          </w:p>
        </w:tc>
        <w:tc>
          <w:tcPr>
            <w:tcW w:w="3234" w:type="pct"/>
            <w:vAlign w:val="center"/>
          </w:tcPr>
          <w:p w14:paraId="4EB5AA7D">
            <w:pPr>
              <w:snapToGrid w:val="0"/>
              <w:spacing w:line="360" w:lineRule="auto"/>
              <w:jc w:val="center"/>
              <w:rPr>
                <w:rFonts w:ascii="宋体" w:hAnsi="宋体"/>
                <w:sz w:val="24"/>
              </w:rPr>
            </w:pPr>
            <w:r>
              <w:rPr>
                <w:rFonts w:hint="eastAsia" w:ascii="宋体" w:hAnsi="宋体"/>
                <w:sz w:val="24"/>
              </w:rPr>
              <w:t>主要满足对医、护、药、械等各类不良事件上报管理、查询管理、统计分析等需求。</w:t>
            </w:r>
          </w:p>
        </w:tc>
        <w:tc>
          <w:tcPr>
            <w:tcW w:w="722" w:type="pct"/>
            <w:vAlign w:val="center"/>
          </w:tcPr>
          <w:p w14:paraId="44CE2985">
            <w:pPr>
              <w:widowControl/>
              <w:snapToGrid w:val="0"/>
              <w:spacing w:line="360" w:lineRule="auto"/>
              <w:jc w:val="center"/>
              <w:textAlignment w:val="center"/>
              <w:rPr>
                <w:rFonts w:ascii="宋体" w:hAnsi="宋体"/>
                <w:color w:val="000000"/>
                <w:kern w:val="0"/>
                <w:sz w:val="24"/>
              </w:rPr>
            </w:pPr>
          </w:p>
        </w:tc>
      </w:tr>
      <w:tr w14:paraId="6137F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7AE881A">
            <w:pPr>
              <w:numPr>
                <w:ilvl w:val="0"/>
                <w:numId w:val="1"/>
              </w:numPr>
              <w:snapToGrid w:val="0"/>
              <w:spacing w:line="360" w:lineRule="auto"/>
              <w:jc w:val="center"/>
              <w:rPr>
                <w:rFonts w:ascii="宋体" w:hAnsi="宋体"/>
                <w:sz w:val="24"/>
              </w:rPr>
            </w:pPr>
          </w:p>
        </w:tc>
        <w:tc>
          <w:tcPr>
            <w:tcW w:w="778" w:type="pct"/>
            <w:vAlign w:val="center"/>
          </w:tcPr>
          <w:p w14:paraId="222A3F35">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随访管理系统</w:t>
            </w:r>
          </w:p>
        </w:tc>
        <w:tc>
          <w:tcPr>
            <w:tcW w:w="3234" w:type="pct"/>
            <w:vAlign w:val="center"/>
          </w:tcPr>
          <w:p w14:paraId="0B9BAC15">
            <w:pPr>
              <w:snapToGrid w:val="0"/>
              <w:spacing w:line="360" w:lineRule="auto"/>
              <w:jc w:val="center"/>
              <w:rPr>
                <w:rFonts w:ascii="宋体" w:hAnsi="宋体"/>
                <w:sz w:val="24"/>
              </w:rPr>
            </w:pPr>
            <w:r>
              <w:rPr>
                <w:rFonts w:hint="eastAsia" w:ascii="宋体" w:hAnsi="宋体"/>
                <w:sz w:val="24"/>
              </w:rPr>
              <w:t>主要满足关于随访患者管理、随访任务制定、模板维护、问卷调查、坐席管理等需求。</w:t>
            </w:r>
          </w:p>
        </w:tc>
        <w:tc>
          <w:tcPr>
            <w:tcW w:w="722" w:type="pct"/>
            <w:vAlign w:val="center"/>
          </w:tcPr>
          <w:p w14:paraId="3932615C">
            <w:pPr>
              <w:widowControl/>
              <w:snapToGrid w:val="0"/>
              <w:spacing w:line="360" w:lineRule="auto"/>
              <w:jc w:val="center"/>
              <w:textAlignment w:val="center"/>
              <w:rPr>
                <w:rFonts w:ascii="宋体" w:hAnsi="宋体"/>
                <w:color w:val="000000"/>
                <w:kern w:val="0"/>
                <w:sz w:val="24"/>
              </w:rPr>
            </w:pPr>
          </w:p>
        </w:tc>
      </w:tr>
      <w:tr w14:paraId="34148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206A8AB">
            <w:pPr>
              <w:numPr>
                <w:ilvl w:val="0"/>
                <w:numId w:val="1"/>
              </w:numPr>
              <w:snapToGrid w:val="0"/>
              <w:spacing w:line="360" w:lineRule="auto"/>
              <w:jc w:val="center"/>
              <w:rPr>
                <w:rFonts w:ascii="宋体" w:hAnsi="宋体"/>
                <w:sz w:val="24"/>
              </w:rPr>
            </w:pPr>
          </w:p>
        </w:tc>
        <w:tc>
          <w:tcPr>
            <w:tcW w:w="778" w:type="pct"/>
            <w:vAlign w:val="center"/>
          </w:tcPr>
          <w:p w14:paraId="72632B75">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临床路径管理系统</w:t>
            </w:r>
          </w:p>
        </w:tc>
        <w:tc>
          <w:tcPr>
            <w:tcW w:w="3234" w:type="pct"/>
            <w:vAlign w:val="center"/>
          </w:tcPr>
          <w:p w14:paraId="46D884BA">
            <w:pPr>
              <w:snapToGrid w:val="0"/>
              <w:spacing w:line="360" w:lineRule="auto"/>
              <w:jc w:val="center"/>
              <w:rPr>
                <w:rFonts w:ascii="宋体" w:hAnsi="宋体"/>
                <w:sz w:val="24"/>
              </w:rPr>
            </w:pPr>
            <w:r>
              <w:rPr>
                <w:rFonts w:hint="eastAsia" w:ascii="宋体" w:hAnsi="宋体"/>
                <w:sz w:val="24"/>
              </w:rPr>
              <w:t>主要满足临床路径申请/维护/审核/使用/管理、基础字典维护等需求。</w:t>
            </w:r>
          </w:p>
        </w:tc>
        <w:tc>
          <w:tcPr>
            <w:tcW w:w="722" w:type="pct"/>
            <w:vAlign w:val="center"/>
          </w:tcPr>
          <w:p w14:paraId="3BDF0691">
            <w:pPr>
              <w:widowControl/>
              <w:snapToGrid w:val="0"/>
              <w:spacing w:line="360" w:lineRule="auto"/>
              <w:jc w:val="center"/>
              <w:textAlignment w:val="center"/>
              <w:rPr>
                <w:rFonts w:ascii="宋体" w:hAnsi="宋体"/>
                <w:color w:val="000000"/>
                <w:kern w:val="0"/>
                <w:sz w:val="24"/>
              </w:rPr>
            </w:pPr>
          </w:p>
        </w:tc>
      </w:tr>
      <w:tr w14:paraId="7C35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033B5EF">
            <w:pPr>
              <w:numPr>
                <w:ilvl w:val="0"/>
                <w:numId w:val="1"/>
              </w:numPr>
              <w:snapToGrid w:val="0"/>
              <w:spacing w:line="360" w:lineRule="auto"/>
              <w:jc w:val="center"/>
              <w:rPr>
                <w:rFonts w:ascii="宋体" w:hAnsi="宋体"/>
                <w:sz w:val="24"/>
              </w:rPr>
            </w:pPr>
          </w:p>
        </w:tc>
        <w:tc>
          <w:tcPr>
            <w:tcW w:w="778" w:type="pct"/>
            <w:vAlign w:val="center"/>
          </w:tcPr>
          <w:p w14:paraId="61DE8FCB">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危急值管理系统</w:t>
            </w:r>
          </w:p>
        </w:tc>
        <w:tc>
          <w:tcPr>
            <w:tcW w:w="3234" w:type="pct"/>
            <w:vAlign w:val="center"/>
          </w:tcPr>
          <w:p w14:paraId="6B0FA4E0">
            <w:pPr>
              <w:snapToGrid w:val="0"/>
              <w:spacing w:line="360" w:lineRule="auto"/>
              <w:jc w:val="center"/>
              <w:rPr>
                <w:rFonts w:ascii="宋体" w:hAnsi="宋体"/>
                <w:sz w:val="24"/>
              </w:rPr>
            </w:pPr>
            <w:r>
              <w:rPr>
                <w:rFonts w:hint="eastAsia" w:ascii="宋体" w:hAnsi="宋体"/>
                <w:sz w:val="24"/>
              </w:rPr>
              <w:t>主要满足检验、检查、心电等各类危急值预警/通知/处理/监管等相关需求。</w:t>
            </w:r>
          </w:p>
        </w:tc>
        <w:tc>
          <w:tcPr>
            <w:tcW w:w="722" w:type="pct"/>
            <w:vAlign w:val="center"/>
          </w:tcPr>
          <w:p w14:paraId="28AAD3E1">
            <w:pPr>
              <w:widowControl/>
              <w:snapToGrid w:val="0"/>
              <w:spacing w:line="360" w:lineRule="auto"/>
              <w:jc w:val="center"/>
              <w:textAlignment w:val="center"/>
              <w:rPr>
                <w:rFonts w:ascii="宋体" w:hAnsi="宋体"/>
                <w:color w:val="000000"/>
                <w:kern w:val="0"/>
                <w:sz w:val="24"/>
              </w:rPr>
            </w:pPr>
          </w:p>
        </w:tc>
      </w:tr>
      <w:tr w14:paraId="389E3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1D7F8580">
            <w:pPr>
              <w:numPr>
                <w:ilvl w:val="0"/>
                <w:numId w:val="1"/>
              </w:numPr>
              <w:snapToGrid w:val="0"/>
              <w:spacing w:line="360" w:lineRule="auto"/>
              <w:jc w:val="center"/>
              <w:rPr>
                <w:rFonts w:ascii="宋体" w:hAnsi="宋体"/>
                <w:sz w:val="24"/>
              </w:rPr>
            </w:pPr>
          </w:p>
        </w:tc>
        <w:tc>
          <w:tcPr>
            <w:tcW w:w="778" w:type="pct"/>
            <w:vAlign w:val="center"/>
          </w:tcPr>
          <w:p w14:paraId="382D32C7">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急诊平台</w:t>
            </w:r>
          </w:p>
        </w:tc>
        <w:tc>
          <w:tcPr>
            <w:tcW w:w="3234" w:type="pct"/>
            <w:vAlign w:val="center"/>
          </w:tcPr>
          <w:p w14:paraId="74BF4CF5">
            <w:pPr>
              <w:snapToGrid w:val="0"/>
              <w:spacing w:line="360" w:lineRule="auto"/>
              <w:jc w:val="center"/>
              <w:rPr>
                <w:rFonts w:ascii="宋体" w:hAnsi="宋体"/>
                <w:sz w:val="24"/>
              </w:rPr>
            </w:pPr>
            <w:r>
              <w:rPr>
                <w:rFonts w:hint="eastAsia" w:ascii="宋体" w:hAnsi="宋体"/>
                <w:sz w:val="24"/>
              </w:rPr>
              <w:t>主要满足急诊科对院前急救、护士工作站、医生工作站、诊疗圈、查询统计、质量控制、RFID、系统管理等需求。</w:t>
            </w:r>
          </w:p>
        </w:tc>
        <w:tc>
          <w:tcPr>
            <w:tcW w:w="722" w:type="pct"/>
            <w:vAlign w:val="center"/>
          </w:tcPr>
          <w:p w14:paraId="70D8E97E">
            <w:pPr>
              <w:widowControl/>
              <w:snapToGrid w:val="0"/>
              <w:spacing w:line="360" w:lineRule="auto"/>
              <w:jc w:val="center"/>
              <w:textAlignment w:val="center"/>
              <w:rPr>
                <w:rFonts w:ascii="宋体" w:hAnsi="宋体"/>
                <w:color w:val="000000"/>
                <w:kern w:val="0"/>
                <w:sz w:val="24"/>
              </w:rPr>
            </w:pPr>
          </w:p>
        </w:tc>
      </w:tr>
      <w:tr w14:paraId="3E42A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4CFD0DF7">
            <w:pPr>
              <w:numPr>
                <w:ilvl w:val="0"/>
                <w:numId w:val="1"/>
              </w:numPr>
              <w:snapToGrid w:val="0"/>
              <w:spacing w:line="360" w:lineRule="auto"/>
              <w:jc w:val="center"/>
              <w:rPr>
                <w:rFonts w:ascii="宋体" w:hAnsi="宋体"/>
                <w:sz w:val="24"/>
              </w:rPr>
            </w:pPr>
          </w:p>
        </w:tc>
        <w:tc>
          <w:tcPr>
            <w:tcW w:w="778" w:type="pct"/>
            <w:vAlign w:val="center"/>
          </w:tcPr>
          <w:p w14:paraId="1746EEF1">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临床药学管理系统</w:t>
            </w:r>
          </w:p>
        </w:tc>
        <w:tc>
          <w:tcPr>
            <w:tcW w:w="3234" w:type="pct"/>
            <w:vAlign w:val="center"/>
          </w:tcPr>
          <w:p w14:paraId="2EBE7399">
            <w:pPr>
              <w:snapToGrid w:val="0"/>
              <w:spacing w:line="360" w:lineRule="auto"/>
              <w:jc w:val="center"/>
              <w:rPr>
                <w:rFonts w:ascii="宋体" w:hAnsi="宋体"/>
                <w:sz w:val="24"/>
              </w:rPr>
            </w:pPr>
            <w:r>
              <w:rPr>
                <w:rFonts w:hint="eastAsia" w:ascii="宋体" w:hAnsi="宋体"/>
                <w:sz w:val="24"/>
              </w:rPr>
              <w:t>主要满足药剂科对处方点评、抗菌药物临床应用监测、统计分析、自维护功能等需求。</w:t>
            </w:r>
          </w:p>
        </w:tc>
        <w:tc>
          <w:tcPr>
            <w:tcW w:w="722" w:type="pct"/>
            <w:vAlign w:val="center"/>
          </w:tcPr>
          <w:p w14:paraId="01A17D12">
            <w:pPr>
              <w:widowControl/>
              <w:snapToGrid w:val="0"/>
              <w:spacing w:line="360" w:lineRule="auto"/>
              <w:jc w:val="center"/>
              <w:textAlignment w:val="center"/>
              <w:rPr>
                <w:rFonts w:ascii="宋体" w:hAnsi="宋体"/>
                <w:color w:val="000000"/>
                <w:kern w:val="0"/>
                <w:sz w:val="24"/>
              </w:rPr>
            </w:pPr>
          </w:p>
        </w:tc>
      </w:tr>
      <w:tr w14:paraId="69995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90195A4">
            <w:pPr>
              <w:numPr>
                <w:ilvl w:val="0"/>
                <w:numId w:val="1"/>
              </w:numPr>
              <w:snapToGrid w:val="0"/>
              <w:spacing w:line="360" w:lineRule="auto"/>
              <w:jc w:val="center"/>
              <w:rPr>
                <w:rFonts w:ascii="宋体" w:hAnsi="宋体"/>
                <w:sz w:val="24"/>
              </w:rPr>
            </w:pPr>
          </w:p>
        </w:tc>
        <w:tc>
          <w:tcPr>
            <w:tcW w:w="778" w:type="pct"/>
            <w:vAlign w:val="center"/>
          </w:tcPr>
          <w:p w14:paraId="39823CE2">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移动工作站</w:t>
            </w:r>
          </w:p>
        </w:tc>
        <w:tc>
          <w:tcPr>
            <w:tcW w:w="3234" w:type="pct"/>
            <w:vAlign w:val="center"/>
          </w:tcPr>
          <w:p w14:paraId="2A4B5D54">
            <w:pPr>
              <w:snapToGrid w:val="0"/>
              <w:spacing w:line="360" w:lineRule="auto"/>
              <w:jc w:val="center"/>
              <w:rPr>
                <w:rFonts w:ascii="宋体" w:hAnsi="宋体"/>
                <w:sz w:val="24"/>
              </w:rPr>
            </w:pPr>
            <w:r>
              <w:rPr>
                <w:rFonts w:hint="eastAsia" w:ascii="宋体" w:hAnsi="宋体"/>
                <w:sz w:val="24"/>
              </w:rPr>
              <w:t>满足临床医生基于手机等移动端患者检验检查、病历文书、心电、手术、体征等信息的查看、医嘱处理等协同工作应用的需求。</w:t>
            </w:r>
          </w:p>
        </w:tc>
        <w:tc>
          <w:tcPr>
            <w:tcW w:w="722" w:type="pct"/>
            <w:vAlign w:val="center"/>
          </w:tcPr>
          <w:p w14:paraId="309B93FA">
            <w:pPr>
              <w:widowControl/>
              <w:snapToGrid w:val="0"/>
              <w:spacing w:line="360" w:lineRule="auto"/>
              <w:jc w:val="center"/>
              <w:textAlignment w:val="center"/>
              <w:rPr>
                <w:rFonts w:ascii="宋体" w:hAnsi="宋体"/>
                <w:color w:val="000000"/>
                <w:kern w:val="0"/>
                <w:sz w:val="24"/>
              </w:rPr>
            </w:pPr>
          </w:p>
        </w:tc>
      </w:tr>
      <w:tr w14:paraId="6081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2EC0CE28">
            <w:pPr>
              <w:numPr>
                <w:ilvl w:val="0"/>
                <w:numId w:val="1"/>
              </w:numPr>
              <w:snapToGrid w:val="0"/>
              <w:spacing w:line="360" w:lineRule="auto"/>
              <w:jc w:val="center"/>
              <w:rPr>
                <w:rFonts w:ascii="宋体" w:hAnsi="宋体"/>
                <w:sz w:val="24"/>
              </w:rPr>
            </w:pPr>
          </w:p>
        </w:tc>
        <w:tc>
          <w:tcPr>
            <w:tcW w:w="778" w:type="pct"/>
            <w:vAlign w:val="center"/>
          </w:tcPr>
          <w:p w14:paraId="1A4219A2">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血液透析系统</w:t>
            </w:r>
          </w:p>
        </w:tc>
        <w:tc>
          <w:tcPr>
            <w:tcW w:w="3234" w:type="pct"/>
            <w:vAlign w:val="center"/>
          </w:tcPr>
          <w:p w14:paraId="627DCA85">
            <w:pPr>
              <w:snapToGrid w:val="0"/>
              <w:spacing w:line="360" w:lineRule="auto"/>
              <w:jc w:val="center"/>
              <w:rPr>
                <w:rFonts w:ascii="宋体" w:hAnsi="宋体"/>
                <w:sz w:val="24"/>
              </w:rPr>
            </w:pPr>
            <w:r>
              <w:rPr>
                <w:rFonts w:hint="eastAsia" w:ascii="宋体" w:hAnsi="宋体"/>
                <w:sz w:val="24"/>
              </w:rPr>
              <w:t>主要满足血透室的透前准备、透中治疗、透析评估、透后总结、患者病历、精细化科室管理、数据统计等需求。</w:t>
            </w:r>
          </w:p>
        </w:tc>
        <w:tc>
          <w:tcPr>
            <w:tcW w:w="722" w:type="pct"/>
            <w:vAlign w:val="center"/>
          </w:tcPr>
          <w:p w14:paraId="45F857F2">
            <w:pPr>
              <w:widowControl/>
              <w:snapToGrid w:val="0"/>
              <w:spacing w:line="360" w:lineRule="auto"/>
              <w:jc w:val="center"/>
              <w:textAlignment w:val="center"/>
              <w:rPr>
                <w:rFonts w:ascii="宋体" w:hAnsi="宋体"/>
                <w:color w:val="000000"/>
                <w:kern w:val="0"/>
                <w:sz w:val="24"/>
              </w:rPr>
            </w:pPr>
          </w:p>
        </w:tc>
      </w:tr>
      <w:tr w14:paraId="0D26B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5321718E">
            <w:pPr>
              <w:numPr>
                <w:ilvl w:val="0"/>
                <w:numId w:val="1"/>
              </w:numPr>
              <w:snapToGrid w:val="0"/>
              <w:spacing w:line="360" w:lineRule="auto"/>
              <w:jc w:val="center"/>
              <w:rPr>
                <w:rFonts w:ascii="宋体" w:hAnsi="宋体"/>
                <w:sz w:val="24"/>
              </w:rPr>
            </w:pPr>
          </w:p>
        </w:tc>
        <w:tc>
          <w:tcPr>
            <w:tcW w:w="778" w:type="pct"/>
            <w:vAlign w:val="center"/>
          </w:tcPr>
          <w:p w14:paraId="3DBC2A95">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VTE评估管理系统</w:t>
            </w:r>
          </w:p>
        </w:tc>
        <w:tc>
          <w:tcPr>
            <w:tcW w:w="3234" w:type="pct"/>
            <w:vAlign w:val="center"/>
          </w:tcPr>
          <w:p w14:paraId="479549BF">
            <w:pPr>
              <w:snapToGrid w:val="0"/>
              <w:spacing w:line="360" w:lineRule="auto"/>
              <w:jc w:val="center"/>
              <w:rPr>
                <w:rFonts w:ascii="宋体" w:hAnsi="宋体"/>
                <w:sz w:val="24"/>
              </w:rPr>
            </w:pPr>
            <w:r>
              <w:rPr>
                <w:rFonts w:hint="eastAsia" w:ascii="宋体" w:hAnsi="宋体"/>
                <w:sz w:val="24"/>
              </w:rPr>
              <w:t>主要满足对患者潜在VTE的智慧预防、智能诊疗及相关统计和管理等需求。</w:t>
            </w:r>
          </w:p>
        </w:tc>
        <w:tc>
          <w:tcPr>
            <w:tcW w:w="722" w:type="pct"/>
            <w:vAlign w:val="center"/>
          </w:tcPr>
          <w:p w14:paraId="58D91182">
            <w:pPr>
              <w:widowControl/>
              <w:snapToGrid w:val="0"/>
              <w:spacing w:line="360" w:lineRule="auto"/>
              <w:jc w:val="center"/>
              <w:textAlignment w:val="center"/>
              <w:rPr>
                <w:rFonts w:ascii="宋体" w:hAnsi="宋体"/>
                <w:color w:val="000000"/>
                <w:kern w:val="0"/>
                <w:sz w:val="24"/>
              </w:rPr>
            </w:pPr>
          </w:p>
        </w:tc>
      </w:tr>
      <w:tr w14:paraId="3125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2D22146A">
            <w:pPr>
              <w:numPr>
                <w:ilvl w:val="0"/>
                <w:numId w:val="1"/>
              </w:numPr>
              <w:snapToGrid w:val="0"/>
              <w:spacing w:line="360" w:lineRule="auto"/>
              <w:jc w:val="center"/>
              <w:rPr>
                <w:rFonts w:ascii="宋体" w:hAnsi="宋体"/>
                <w:sz w:val="24"/>
              </w:rPr>
            </w:pPr>
          </w:p>
        </w:tc>
        <w:tc>
          <w:tcPr>
            <w:tcW w:w="778" w:type="pct"/>
            <w:vAlign w:val="center"/>
          </w:tcPr>
          <w:p w14:paraId="14685784">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围产保健管理系统</w:t>
            </w:r>
          </w:p>
        </w:tc>
        <w:tc>
          <w:tcPr>
            <w:tcW w:w="3234" w:type="pct"/>
            <w:vAlign w:val="center"/>
          </w:tcPr>
          <w:p w14:paraId="0FD94758">
            <w:pPr>
              <w:snapToGrid w:val="0"/>
              <w:spacing w:line="360" w:lineRule="auto"/>
              <w:jc w:val="center"/>
              <w:rPr>
                <w:rFonts w:ascii="宋体" w:hAnsi="宋体"/>
                <w:sz w:val="24"/>
              </w:rPr>
            </w:pPr>
            <w:r>
              <w:rPr>
                <w:rFonts w:hint="eastAsia" w:ascii="宋体" w:hAnsi="宋体"/>
                <w:sz w:val="24"/>
              </w:rPr>
              <w:t>主要满足医院对婚前保健、孕前保健、围产保健、儿童保健、妇幼公卫、生育管理、报表统计等相关需求。</w:t>
            </w:r>
          </w:p>
        </w:tc>
        <w:tc>
          <w:tcPr>
            <w:tcW w:w="722" w:type="pct"/>
            <w:vAlign w:val="center"/>
          </w:tcPr>
          <w:p w14:paraId="05E7B8D9">
            <w:pPr>
              <w:widowControl/>
              <w:snapToGrid w:val="0"/>
              <w:spacing w:line="360" w:lineRule="auto"/>
              <w:jc w:val="center"/>
              <w:textAlignment w:val="center"/>
              <w:rPr>
                <w:rFonts w:ascii="宋体" w:hAnsi="宋体"/>
                <w:color w:val="000000"/>
                <w:kern w:val="0"/>
                <w:sz w:val="24"/>
              </w:rPr>
            </w:pPr>
          </w:p>
        </w:tc>
      </w:tr>
      <w:tr w14:paraId="486E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34A2FD70">
            <w:pPr>
              <w:numPr>
                <w:ilvl w:val="0"/>
                <w:numId w:val="1"/>
              </w:numPr>
              <w:snapToGrid w:val="0"/>
              <w:spacing w:line="360" w:lineRule="auto"/>
              <w:jc w:val="center"/>
              <w:rPr>
                <w:rFonts w:ascii="宋体" w:hAnsi="宋体"/>
                <w:sz w:val="24"/>
              </w:rPr>
            </w:pPr>
          </w:p>
        </w:tc>
        <w:tc>
          <w:tcPr>
            <w:tcW w:w="778" w:type="pct"/>
            <w:vAlign w:val="center"/>
          </w:tcPr>
          <w:p w14:paraId="6B1847F2">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介入诊疗管理系统</w:t>
            </w:r>
          </w:p>
        </w:tc>
        <w:tc>
          <w:tcPr>
            <w:tcW w:w="3234" w:type="pct"/>
            <w:vAlign w:val="center"/>
          </w:tcPr>
          <w:p w14:paraId="38F291BD">
            <w:pPr>
              <w:snapToGrid w:val="0"/>
              <w:spacing w:line="360" w:lineRule="auto"/>
              <w:jc w:val="center"/>
              <w:rPr>
                <w:rFonts w:ascii="宋体" w:hAnsi="宋体"/>
                <w:sz w:val="24"/>
              </w:rPr>
            </w:pPr>
            <w:r>
              <w:rPr>
                <w:rFonts w:hint="eastAsia" w:ascii="宋体" w:hAnsi="宋体"/>
                <w:sz w:val="24"/>
              </w:rPr>
              <w:t>满足介入手术室的手术、计费、影像、系统联通、数据统计分析等工作需求。</w:t>
            </w:r>
          </w:p>
        </w:tc>
        <w:tc>
          <w:tcPr>
            <w:tcW w:w="722" w:type="pct"/>
            <w:vAlign w:val="center"/>
          </w:tcPr>
          <w:p w14:paraId="1037404D">
            <w:pPr>
              <w:widowControl/>
              <w:snapToGrid w:val="0"/>
              <w:spacing w:line="360" w:lineRule="auto"/>
              <w:jc w:val="center"/>
              <w:textAlignment w:val="center"/>
              <w:rPr>
                <w:rFonts w:ascii="宋体" w:hAnsi="宋体"/>
                <w:color w:val="000000"/>
                <w:kern w:val="0"/>
                <w:sz w:val="24"/>
              </w:rPr>
            </w:pPr>
          </w:p>
        </w:tc>
      </w:tr>
      <w:tr w14:paraId="42F29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4B40130B">
            <w:pPr>
              <w:numPr>
                <w:ilvl w:val="0"/>
                <w:numId w:val="1"/>
              </w:numPr>
              <w:snapToGrid w:val="0"/>
              <w:spacing w:line="360" w:lineRule="auto"/>
              <w:jc w:val="center"/>
              <w:rPr>
                <w:rFonts w:ascii="宋体" w:hAnsi="宋体"/>
                <w:sz w:val="24"/>
              </w:rPr>
            </w:pPr>
          </w:p>
        </w:tc>
        <w:tc>
          <w:tcPr>
            <w:tcW w:w="778" w:type="pct"/>
            <w:vAlign w:val="center"/>
          </w:tcPr>
          <w:p w14:paraId="540A7559">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医学影像三维重建系统</w:t>
            </w:r>
          </w:p>
        </w:tc>
        <w:tc>
          <w:tcPr>
            <w:tcW w:w="3234" w:type="pct"/>
            <w:vAlign w:val="center"/>
          </w:tcPr>
          <w:p w14:paraId="32A3F64A">
            <w:pPr>
              <w:snapToGrid w:val="0"/>
              <w:spacing w:line="360" w:lineRule="auto"/>
              <w:jc w:val="center"/>
              <w:rPr>
                <w:rFonts w:ascii="宋体" w:hAnsi="宋体"/>
                <w:sz w:val="24"/>
              </w:rPr>
            </w:pPr>
            <w:r>
              <w:rPr>
                <w:rFonts w:hint="eastAsia" w:ascii="宋体" w:hAnsi="宋体"/>
                <w:sz w:val="24"/>
              </w:rPr>
              <w:t>满足影像及临床科室对伪彩、图像融合、三维重建、提取信息、胶片打印等需求。</w:t>
            </w:r>
          </w:p>
        </w:tc>
        <w:tc>
          <w:tcPr>
            <w:tcW w:w="722" w:type="pct"/>
            <w:vAlign w:val="center"/>
          </w:tcPr>
          <w:p w14:paraId="2A8AD1F0">
            <w:pPr>
              <w:widowControl/>
              <w:snapToGrid w:val="0"/>
              <w:spacing w:line="360" w:lineRule="auto"/>
              <w:jc w:val="center"/>
              <w:textAlignment w:val="center"/>
              <w:rPr>
                <w:rFonts w:ascii="宋体" w:hAnsi="宋体"/>
                <w:color w:val="000000"/>
                <w:kern w:val="0"/>
                <w:sz w:val="24"/>
              </w:rPr>
            </w:pPr>
          </w:p>
        </w:tc>
      </w:tr>
      <w:tr w14:paraId="2582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64EF3292">
            <w:pPr>
              <w:numPr>
                <w:ilvl w:val="0"/>
                <w:numId w:val="1"/>
              </w:numPr>
              <w:snapToGrid w:val="0"/>
              <w:spacing w:line="360" w:lineRule="auto"/>
              <w:jc w:val="center"/>
              <w:rPr>
                <w:rFonts w:ascii="宋体" w:hAnsi="宋体"/>
                <w:sz w:val="24"/>
              </w:rPr>
            </w:pPr>
          </w:p>
        </w:tc>
        <w:tc>
          <w:tcPr>
            <w:tcW w:w="778" w:type="pct"/>
            <w:vAlign w:val="center"/>
          </w:tcPr>
          <w:p w14:paraId="5F5389DB">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职业病体检信息管理系统</w:t>
            </w:r>
          </w:p>
        </w:tc>
        <w:tc>
          <w:tcPr>
            <w:tcW w:w="3234" w:type="pct"/>
            <w:vAlign w:val="center"/>
          </w:tcPr>
          <w:p w14:paraId="06FCE04D">
            <w:pPr>
              <w:snapToGrid w:val="0"/>
              <w:spacing w:line="360" w:lineRule="auto"/>
              <w:jc w:val="center"/>
              <w:rPr>
                <w:rFonts w:ascii="宋体" w:hAnsi="宋体"/>
                <w:sz w:val="24"/>
              </w:rPr>
            </w:pPr>
            <w:r>
              <w:rPr>
                <w:rFonts w:hint="eastAsia" w:ascii="宋体" w:hAnsi="宋体"/>
                <w:sz w:val="24"/>
              </w:rPr>
              <w:t>满足体检部门对职业病体检的信息查询、登记、团检、诊断、基础项目管理维护等需求。</w:t>
            </w:r>
          </w:p>
        </w:tc>
        <w:tc>
          <w:tcPr>
            <w:tcW w:w="722" w:type="pct"/>
            <w:vAlign w:val="center"/>
          </w:tcPr>
          <w:p w14:paraId="02853747">
            <w:pPr>
              <w:widowControl/>
              <w:snapToGrid w:val="0"/>
              <w:spacing w:line="360" w:lineRule="auto"/>
              <w:jc w:val="center"/>
              <w:textAlignment w:val="center"/>
              <w:rPr>
                <w:rFonts w:ascii="宋体" w:hAnsi="宋体"/>
                <w:color w:val="000000"/>
                <w:kern w:val="0"/>
                <w:sz w:val="24"/>
              </w:rPr>
            </w:pPr>
          </w:p>
        </w:tc>
      </w:tr>
      <w:tr w14:paraId="724F5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3FCA5FC0">
            <w:pPr>
              <w:numPr>
                <w:ilvl w:val="0"/>
                <w:numId w:val="1"/>
              </w:numPr>
              <w:snapToGrid w:val="0"/>
              <w:spacing w:line="360" w:lineRule="auto"/>
              <w:jc w:val="center"/>
              <w:rPr>
                <w:rFonts w:ascii="宋体" w:hAnsi="宋体"/>
                <w:sz w:val="24"/>
              </w:rPr>
            </w:pPr>
          </w:p>
        </w:tc>
        <w:tc>
          <w:tcPr>
            <w:tcW w:w="778" w:type="pct"/>
            <w:vAlign w:val="center"/>
          </w:tcPr>
          <w:p w14:paraId="5EF38B31">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产房系统</w:t>
            </w:r>
          </w:p>
        </w:tc>
        <w:tc>
          <w:tcPr>
            <w:tcW w:w="3234" w:type="pct"/>
            <w:vAlign w:val="center"/>
          </w:tcPr>
          <w:p w14:paraId="3C9BF713">
            <w:pPr>
              <w:snapToGrid w:val="0"/>
              <w:spacing w:line="360" w:lineRule="auto"/>
              <w:jc w:val="center"/>
              <w:rPr>
                <w:rFonts w:ascii="宋体" w:hAnsi="宋体"/>
                <w:sz w:val="24"/>
              </w:rPr>
            </w:pPr>
            <w:r>
              <w:rPr>
                <w:rFonts w:hint="eastAsia" w:ascii="宋体" w:hAnsi="宋体"/>
                <w:sz w:val="24"/>
              </w:rPr>
              <w:t>主要满足妇产科对产妇交接、医嘱处理、产房病历、护理文书、费用管理、打印任务、产房管理等需求。</w:t>
            </w:r>
          </w:p>
        </w:tc>
        <w:tc>
          <w:tcPr>
            <w:tcW w:w="722" w:type="pct"/>
            <w:vAlign w:val="center"/>
          </w:tcPr>
          <w:p w14:paraId="46869983">
            <w:pPr>
              <w:widowControl/>
              <w:snapToGrid w:val="0"/>
              <w:spacing w:line="360" w:lineRule="auto"/>
              <w:jc w:val="center"/>
              <w:textAlignment w:val="center"/>
              <w:rPr>
                <w:rFonts w:ascii="宋体" w:hAnsi="宋体"/>
                <w:color w:val="000000"/>
                <w:kern w:val="0"/>
                <w:sz w:val="24"/>
              </w:rPr>
            </w:pPr>
          </w:p>
        </w:tc>
      </w:tr>
      <w:tr w14:paraId="158C3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1A82360E">
            <w:pPr>
              <w:numPr>
                <w:ilvl w:val="0"/>
                <w:numId w:val="1"/>
              </w:numPr>
              <w:snapToGrid w:val="0"/>
              <w:spacing w:line="360" w:lineRule="auto"/>
              <w:jc w:val="center"/>
              <w:rPr>
                <w:rFonts w:ascii="宋体" w:hAnsi="宋体"/>
                <w:sz w:val="24"/>
              </w:rPr>
            </w:pPr>
          </w:p>
        </w:tc>
        <w:tc>
          <w:tcPr>
            <w:tcW w:w="778" w:type="pct"/>
            <w:vAlign w:val="center"/>
          </w:tcPr>
          <w:p w14:paraId="3C2E775C">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设备固定资产管理系统</w:t>
            </w:r>
          </w:p>
        </w:tc>
        <w:tc>
          <w:tcPr>
            <w:tcW w:w="3234" w:type="pct"/>
            <w:vAlign w:val="center"/>
          </w:tcPr>
          <w:p w14:paraId="4845208B">
            <w:pPr>
              <w:snapToGrid w:val="0"/>
              <w:spacing w:line="360" w:lineRule="auto"/>
              <w:jc w:val="center"/>
              <w:rPr>
                <w:rFonts w:ascii="宋体" w:hAnsi="宋体"/>
                <w:sz w:val="24"/>
              </w:rPr>
            </w:pPr>
            <w:r>
              <w:rPr>
                <w:rFonts w:hint="eastAsia" w:ascii="宋体" w:hAnsi="宋体"/>
                <w:sz w:val="24"/>
              </w:rPr>
              <w:t>主要满足设备科的基础信息管理、设备采购管理、入出管理、设备质控管理、设备盘点管理、设备公用管理资产查询管理等需求。</w:t>
            </w:r>
          </w:p>
        </w:tc>
        <w:tc>
          <w:tcPr>
            <w:tcW w:w="722" w:type="pct"/>
            <w:vAlign w:val="center"/>
          </w:tcPr>
          <w:p w14:paraId="27B59483">
            <w:pPr>
              <w:widowControl/>
              <w:snapToGrid w:val="0"/>
              <w:spacing w:line="360" w:lineRule="auto"/>
              <w:jc w:val="center"/>
              <w:textAlignment w:val="center"/>
              <w:rPr>
                <w:rFonts w:ascii="宋体" w:hAnsi="宋体"/>
                <w:color w:val="000000"/>
                <w:kern w:val="0"/>
                <w:sz w:val="24"/>
              </w:rPr>
            </w:pPr>
          </w:p>
        </w:tc>
      </w:tr>
      <w:tr w14:paraId="6201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23C6760">
            <w:pPr>
              <w:numPr>
                <w:ilvl w:val="0"/>
                <w:numId w:val="1"/>
              </w:numPr>
              <w:snapToGrid w:val="0"/>
              <w:spacing w:line="360" w:lineRule="auto"/>
              <w:jc w:val="center"/>
              <w:rPr>
                <w:rFonts w:ascii="宋体" w:hAnsi="宋体"/>
                <w:sz w:val="24"/>
              </w:rPr>
            </w:pPr>
          </w:p>
        </w:tc>
        <w:tc>
          <w:tcPr>
            <w:tcW w:w="778" w:type="pct"/>
            <w:vAlign w:val="center"/>
          </w:tcPr>
          <w:p w14:paraId="7534813B">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公立医院等级评审系统</w:t>
            </w:r>
          </w:p>
        </w:tc>
        <w:tc>
          <w:tcPr>
            <w:tcW w:w="3234" w:type="pct"/>
            <w:vAlign w:val="center"/>
          </w:tcPr>
          <w:p w14:paraId="19E5DC24">
            <w:pPr>
              <w:snapToGrid w:val="0"/>
              <w:spacing w:line="360" w:lineRule="auto"/>
              <w:jc w:val="center"/>
              <w:rPr>
                <w:rFonts w:ascii="宋体" w:hAnsi="宋体"/>
                <w:sz w:val="24"/>
              </w:rPr>
            </w:pPr>
            <w:r>
              <w:rPr>
                <w:rFonts w:hint="eastAsia" w:ascii="宋体" w:hAnsi="宋体"/>
                <w:sz w:val="24"/>
              </w:rPr>
              <w:t>应满足医院对公立医院等级评审和复审工作中对评审数据提取、生成、关键任务管理等工作需求。</w:t>
            </w:r>
          </w:p>
        </w:tc>
        <w:tc>
          <w:tcPr>
            <w:tcW w:w="722" w:type="pct"/>
            <w:vAlign w:val="center"/>
          </w:tcPr>
          <w:p w14:paraId="1C8C1593">
            <w:pPr>
              <w:widowControl/>
              <w:snapToGrid w:val="0"/>
              <w:spacing w:line="360" w:lineRule="auto"/>
              <w:jc w:val="center"/>
              <w:textAlignment w:val="center"/>
              <w:rPr>
                <w:rFonts w:ascii="宋体" w:hAnsi="宋体"/>
                <w:color w:val="000000"/>
                <w:kern w:val="0"/>
                <w:sz w:val="24"/>
              </w:rPr>
            </w:pPr>
          </w:p>
        </w:tc>
      </w:tr>
      <w:tr w14:paraId="4877B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486E155B">
            <w:pPr>
              <w:numPr>
                <w:ilvl w:val="0"/>
                <w:numId w:val="1"/>
              </w:numPr>
              <w:snapToGrid w:val="0"/>
              <w:spacing w:line="360" w:lineRule="auto"/>
              <w:jc w:val="center"/>
              <w:rPr>
                <w:rFonts w:ascii="宋体" w:hAnsi="宋体"/>
                <w:sz w:val="24"/>
              </w:rPr>
            </w:pPr>
          </w:p>
        </w:tc>
        <w:tc>
          <w:tcPr>
            <w:tcW w:w="778" w:type="pct"/>
            <w:vAlign w:val="center"/>
          </w:tcPr>
          <w:p w14:paraId="4650AC13">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公立医院绩效考核系统</w:t>
            </w:r>
          </w:p>
        </w:tc>
        <w:tc>
          <w:tcPr>
            <w:tcW w:w="3234" w:type="pct"/>
            <w:vAlign w:val="center"/>
          </w:tcPr>
          <w:p w14:paraId="6CC043DA">
            <w:pPr>
              <w:snapToGrid w:val="0"/>
              <w:spacing w:line="360" w:lineRule="auto"/>
              <w:jc w:val="center"/>
              <w:rPr>
                <w:rFonts w:ascii="宋体" w:hAnsi="宋体"/>
                <w:sz w:val="24"/>
              </w:rPr>
            </w:pPr>
            <w:r>
              <w:rPr>
                <w:rFonts w:hint="eastAsia" w:ascii="宋体" w:hAnsi="宋体"/>
                <w:sz w:val="24"/>
              </w:rPr>
              <w:t>应满足医院对公立医院绩效考核工作所需的相关数据统计、数据专项分析、重点监控内容查看、目标值管理等需求。</w:t>
            </w:r>
          </w:p>
        </w:tc>
        <w:tc>
          <w:tcPr>
            <w:tcW w:w="722" w:type="pct"/>
            <w:vAlign w:val="center"/>
          </w:tcPr>
          <w:p w14:paraId="42283F7E">
            <w:pPr>
              <w:widowControl/>
              <w:snapToGrid w:val="0"/>
              <w:spacing w:line="360" w:lineRule="auto"/>
              <w:jc w:val="center"/>
              <w:textAlignment w:val="center"/>
              <w:rPr>
                <w:rFonts w:ascii="宋体" w:hAnsi="宋体"/>
                <w:color w:val="000000"/>
                <w:kern w:val="0"/>
                <w:sz w:val="24"/>
              </w:rPr>
            </w:pPr>
          </w:p>
        </w:tc>
      </w:tr>
      <w:tr w14:paraId="5A7FC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68E9EBC9">
            <w:pPr>
              <w:numPr>
                <w:ilvl w:val="0"/>
                <w:numId w:val="1"/>
              </w:numPr>
              <w:snapToGrid w:val="0"/>
              <w:spacing w:line="360" w:lineRule="auto"/>
              <w:jc w:val="center"/>
              <w:rPr>
                <w:rFonts w:ascii="宋体" w:hAnsi="宋体"/>
                <w:sz w:val="24"/>
              </w:rPr>
            </w:pPr>
          </w:p>
        </w:tc>
        <w:tc>
          <w:tcPr>
            <w:tcW w:w="778" w:type="pct"/>
            <w:vAlign w:val="center"/>
          </w:tcPr>
          <w:p w14:paraId="1EF7D00A">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护理管理系统</w:t>
            </w:r>
          </w:p>
        </w:tc>
        <w:tc>
          <w:tcPr>
            <w:tcW w:w="3234" w:type="pct"/>
            <w:vAlign w:val="center"/>
          </w:tcPr>
          <w:p w14:paraId="785ECE90">
            <w:pPr>
              <w:snapToGrid w:val="0"/>
              <w:spacing w:line="360" w:lineRule="auto"/>
              <w:jc w:val="center"/>
              <w:rPr>
                <w:rFonts w:ascii="宋体" w:hAnsi="宋体"/>
                <w:sz w:val="24"/>
              </w:rPr>
            </w:pPr>
            <w:r>
              <w:rPr>
                <w:rFonts w:hint="eastAsia" w:ascii="宋体" w:hAnsi="宋体"/>
                <w:sz w:val="24"/>
              </w:rPr>
              <w:t>主要满足护理部对质量检测、敏感指标、日常工作、高危上报、满意度、文书质控等需求。</w:t>
            </w:r>
          </w:p>
        </w:tc>
        <w:tc>
          <w:tcPr>
            <w:tcW w:w="722" w:type="pct"/>
            <w:vAlign w:val="center"/>
          </w:tcPr>
          <w:p w14:paraId="657E2B00">
            <w:pPr>
              <w:widowControl/>
              <w:snapToGrid w:val="0"/>
              <w:spacing w:line="360" w:lineRule="auto"/>
              <w:jc w:val="center"/>
              <w:textAlignment w:val="center"/>
              <w:rPr>
                <w:rFonts w:ascii="宋体" w:hAnsi="宋体"/>
                <w:color w:val="000000"/>
                <w:kern w:val="0"/>
                <w:sz w:val="24"/>
              </w:rPr>
            </w:pPr>
          </w:p>
        </w:tc>
      </w:tr>
      <w:tr w14:paraId="01EF0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BC58108">
            <w:pPr>
              <w:numPr>
                <w:ilvl w:val="0"/>
                <w:numId w:val="1"/>
              </w:numPr>
              <w:snapToGrid w:val="0"/>
              <w:spacing w:line="360" w:lineRule="auto"/>
              <w:jc w:val="center"/>
              <w:rPr>
                <w:rFonts w:ascii="宋体" w:hAnsi="宋体"/>
                <w:sz w:val="24"/>
              </w:rPr>
            </w:pPr>
          </w:p>
        </w:tc>
        <w:tc>
          <w:tcPr>
            <w:tcW w:w="778" w:type="pct"/>
            <w:vAlign w:val="center"/>
          </w:tcPr>
          <w:p w14:paraId="4E8E74E5">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医院成本核算信息管理系统</w:t>
            </w:r>
          </w:p>
        </w:tc>
        <w:tc>
          <w:tcPr>
            <w:tcW w:w="3234" w:type="pct"/>
            <w:vAlign w:val="center"/>
          </w:tcPr>
          <w:p w14:paraId="758B8C7A">
            <w:pPr>
              <w:snapToGrid w:val="0"/>
              <w:spacing w:line="360" w:lineRule="auto"/>
              <w:jc w:val="center"/>
              <w:rPr>
                <w:rFonts w:ascii="宋体" w:hAnsi="宋体"/>
                <w:sz w:val="24"/>
              </w:rPr>
            </w:pPr>
            <w:r>
              <w:rPr>
                <w:rFonts w:hint="eastAsia" w:ascii="宋体" w:hAnsi="宋体"/>
                <w:sz w:val="24"/>
              </w:rPr>
              <w:t>主要满足医院管理科室对财务核算字典设置、成本分摊规则设置、成本核算数据统计、科室/医院/病种成本查询等需求。</w:t>
            </w:r>
          </w:p>
        </w:tc>
        <w:tc>
          <w:tcPr>
            <w:tcW w:w="722" w:type="pct"/>
            <w:vAlign w:val="center"/>
          </w:tcPr>
          <w:p w14:paraId="1FCA5D7F">
            <w:pPr>
              <w:widowControl/>
              <w:snapToGrid w:val="0"/>
              <w:spacing w:line="360" w:lineRule="auto"/>
              <w:jc w:val="center"/>
              <w:textAlignment w:val="center"/>
              <w:rPr>
                <w:rFonts w:ascii="宋体" w:hAnsi="宋体"/>
                <w:color w:val="000000"/>
                <w:kern w:val="0"/>
                <w:sz w:val="24"/>
              </w:rPr>
            </w:pPr>
          </w:p>
        </w:tc>
      </w:tr>
      <w:tr w14:paraId="087CF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654E485">
            <w:pPr>
              <w:numPr>
                <w:ilvl w:val="0"/>
                <w:numId w:val="1"/>
              </w:numPr>
              <w:snapToGrid w:val="0"/>
              <w:spacing w:line="360" w:lineRule="auto"/>
              <w:jc w:val="center"/>
              <w:rPr>
                <w:rFonts w:ascii="宋体" w:hAnsi="宋体"/>
                <w:sz w:val="24"/>
              </w:rPr>
            </w:pPr>
          </w:p>
        </w:tc>
        <w:tc>
          <w:tcPr>
            <w:tcW w:w="778" w:type="pct"/>
            <w:vAlign w:val="center"/>
          </w:tcPr>
          <w:p w14:paraId="38CD21F6">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医务管控系统</w:t>
            </w:r>
          </w:p>
        </w:tc>
        <w:tc>
          <w:tcPr>
            <w:tcW w:w="3234" w:type="pct"/>
            <w:vAlign w:val="center"/>
          </w:tcPr>
          <w:p w14:paraId="2A58ECAC">
            <w:pPr>
              <w:snapToGrid w:val="0"/>
              <w:spacing w:line="360" w:lineRule="auto"/>
              <w:jc w:val="center"/>
              <w:rPr>
                <w:rFonts w:ascii="宋体" w:hAnsi="宋体"/>
                <w:sz w:val="24"/>
              </w:rPr>
            </w:pPr>
            <w:r>
              <w:rPr>
                <w:rFonts w:hint="eastAsia" w:ascii="宋体" w:hAnsi="宋体"/>
                <w:sz w:val="24"/>
              </w:rPr>
              <w:t>主要满足医务科对收入分析、业务量分析、质量分析、效率分析、医务统计分析、流程审批、医务电视屏展示等需求。</w:t>
            </w:r>
          </w:p>
        </w:tc>
        <w:tc>
          <w:tcPr>
            <w:tcW w:w="722" w:type="pct"/>
            <w:vAlign w:val="center"/>
          </w:tcPr>
          <w:p w14:paraId="2052711D">
            <w:pPr>
              <w:widowControl/>
              <w:snapToGrid w:val="0"/>
              <w:spacing w:line="360" w:lineRule="auto"/>
              <w:jc w:val="center"/>
              <w:textAlignment w:val="center"/>
              <w:rPr>
                <w:rFonts w:ascii="宋体" w:hAnsi="宋体"/>
                <w:color w:val="000000"/>
                <w:kern w:val="0"/>
                <w:sz w:val="24"/>
              </w:rPr>
            </w:pPr>
          </w:p>
        </w:tc>
      </w:tr>
      <w:tr w14:paraId="3560C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46A345ED">
            <w:pPr>
              <w:numPr>
                <w:ilvl w:val="0"/>
                <w:numId w:val="1"/>
              </w:numPr>
              <w:snapToGrid w:val="0"/>
              <w:spacing w:line="360" w:lineRule="auto"/>
              <w:jc w:val="center"/>
              <w:rPr>
                <w:rFonts w:ascii="宋体" w:hAnsi="宋体"/>
                <w:sz w:val="24"/>
              </w:rPr>
            </w:pPr>
          </w:p>
        </w:tc>
        <w:tc>
          <w:tcPr>
            <w:tcW w:w="778" w:type="pct"/>
            <w:vAlign w:val="center"/>
          </w:tcPr>
          <w:p w14:paraId="4112D297">
            <w:pPr>
              <w:widowControl/>
              <w:snapToGrid w:val="0"/>
              <w:spacing w:line="360" w:lineRule="auto"/>
              <w:jc w:val="center"/>
              <w:textAlignment w:val="center"/>
              <w:rPr>
                <w:rFonts w:ascii="宋体" w:hAnsi="宋体"/>
                <w:sz w:val="24"/>
              </w:rPr>
            </w:pPr>
            <w:r>
              <w:rPr>
                <w:rFonts w:hint="eastAsia" w:ascii="宋体" w:hAnsi="宋体"/>
                <w:sz w:val="24"/>
              </w:rPr>
              <w:t>管理者管控系统</w:t>
            </w:r>
          </w:p>
        </w:tc>
        <w:tc>
          <w:tcPr>
            <w:tcW w:w="3234" w:type="pct"/>
            <w:vAlign w:val="center"/>
          </w:tcPr>
          <w:p w14:paraId="179F245F">
            <w:pPr>
              <w:snapToGrid w:val="0"/>
              <w:spacing w:line="360" w:lineRule="auto"/>
              <w:jc w:val="center"/>
              <w:rPr>
                <w:rFonts w:ascii="宋体" w:hAnsi="宋体"/>
                <w:sz w:val="24"/>
              </w:rPr>
            </w:pPr>
            <w:r>
              <w:rPr>
                <w:rFonts w:hint="eastAsia" w:ascii="宋体" w:hAnsi="宋体"/>
                <w:sz w:val="24"/>
              </w:rPr>
              <w:t>主要满足管理者对日常医院运行管理数据的实时监控，包括门诊分析、住院分析、收入分析、手术分析、药品分析、材料分析、药占比分析、平均住院日分析等管理场景。</w:t>
            </w:r>
          </w:p>
        </w:tc>
        <w:tc>
          <w:tcPr>
            <w:tcW w:w="722" w:type="pct"/>
            <w:vAlign w:val="center"/>
          </w:tcPr>
          <w:p w14:paraId="03C7A9D8">
            <w:pPr>
              <w:widowControl/>
              <w:snapToGrid w:val="0"/>
              <w:spacing w:line="360" w:lineRule="auto"/>
              <w:jc w:val="center"/>
              <w:textAlignment w:val="center"/>
              <w:rPr>
                <w:rFonts w:ascii="宋体" w:hAnsi="宋体"/>
                <w:color w:val="000000"/>
                <w:kern w:val="0"/>
                <w:sz w:val="24"/>
              </w:rPr>
            </w:pPr>
          </w:p>
        </w:tc>
      </w:tr>
      <w:tr w14:paraId="79FC2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48DDA4C">
            <w:pPr>
              <w:numPr>
                <w:ilvl w:val="0"/>
                <w:numId w:val="1"/>
              </w:numPr>
              <w:snapToGrid w:val="0"/>
              <w:spacing w:line="360" w:lineRule="auto"/>
              <w:jc w:val="center"/>
              <w:rPr>
                <w:rFonts w:ascii="宋体" w:hAnsi="宋体"/>
                <w:sz w:val="24"/>
              </w:rPr>
            </w:pPr>
          </w:p>
        </w:tc>
        <w:tc>
          <w:tcPr>
            <w:tcW w:w="778" w:type="pct"/>
            <w:vAlign w:val="center"/>
          </w:tcPr>
          <w:p w14:paraId="683136D5">
            <w:pPr>
              <w:widowControl/>
              <w:snapToGrid w:val="0"/>
              <w:spacing w:line="360" w:lineRule="auto"/>
              <w:jc w:val="center"/>
              <w:textAlignment w:val="center"/>
              <w:rPr>
                <w:rFonts w:ascii="宋体" w:hAnsi="宋体"/>
                <w:color w:val="000000"/>
                <w:kern w:val="0"/>
                <w:sz w:val="24"/>
              </w:rPr>
            </w:pPr>
            <w:r>
              <w:rPr>
                <w:rFonts w:hint="eastAsia" w:ascii="宋体" w:hAnsi="宋体"/>
                <w:sz w:val="24"/>
              </w:rPr>
              <w:t>管理者</w:t>
            </w:r>
            <w:r>
              <w:rPr>
                <w:rFonts w:hint="eastAsia" w:ascii="宋体" w:hAnsi="宋体"/>
                <w:color w:val="000000"/>
                <w:kern w:val="0"/>
                <w:sz w:val="24"/>
              </w:rPr>
              <w:t>移动管控系统</w:t>
            </w:r>
          </w:p>
        </w:tc>
        <w:tc>
          <w:tcPr>
            <w:tcW w:w="3234" w:type="pct"/>
            <w:vAlign w:val="center"/>
          </w:tcPr>
          <w:p w14:paraId="357C1536">
            <w:pPr>
              <w:snapToGrid w:val="0"/>
              <w:spacing w:line="360" w:lineRule="auto"/>
              <w:jc w:val="center"/>
              <w:rPr>
                <w:rFonts w:ascii="宋体" w:hAnsi="宋体"/>
                <w:sz w:val="24"/>
              </w:rPr>
            </w:pPr>
            <w:r>
              <w:rPr>
                <w:rFonts w:hint="eastAsia" w:ascii="宋体" w:hAnsi="宋体"/>
                <w:sz w:val="24"/>
              </w:rPr>
              <w:t>满足管理者对日常医院运营的移动管理场景，包括门诊分析、住院分析、收入分析、手术分析、药品分析、材料分析、药占比分析等。</w:t>
            </w:r>
          </w:p>
        </w:tc>
        <w:tc>
          <w:tcPr>
            <w:tcW w:w="722" w:type="pct"/>
            <w:vAlign w:val="center"/>
          </w:tcPr>
          <w:p w14:paraId="3FCC1AC0">
            <w:pPr>
              <w:widowControl/>
              <w:snapToGrid w:val="0"/>
              <w:spacing w:line="360" w:lineRule="auto"/>
              <w:jc w:val="center"/>
              <w:textAlignment w:val="center"/>
              <w:rPr>
                <w:rFonts w:ascii="宋体" w:hAnsi="宋体"/>
                <w:color w:val="000000"/>
                <w:kern w:val="0"/>
                <w:sz w:val="24"/>
              </w:rPr>
            </w:pPr>
          </w:p>
        </w:tc>
      </w:tr>
      <w:tr w14:paraId="1919F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64CCB91C">
            <w:pPr>
              <w:numPr>
                <w:ilvl w:val="0"/>
                <w:numId w:val="1"/>
              </w:numPr>
              <w:snapToGrid w:val="0"/>
              <w:spacing w:line="360" w:lineRule="auto"/>
              <w:jc w:val="center"/>
              <w:rPr>
                <w:rFonts w:ascii="宋体" w:hAnsi="宋体"/>
                <w:sz w:val="24"/>
              </w:rPr>
            </w:pPr>
          </w:p>
        </w:tc>
        <w:tc>
          <w:tcPr>
            <w:tcW w:w="778" w:type="pct"/>
            <w:vAlign w:val="center"/>
          </w:tcPr>
          <w:p w14:paraId="43E5A15F">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门诊管控系统</w:t>
            </w:r>
          </w:p>
        </w:tc>
        <w:tc>
          <w:tcPr>
            <w:tcW w:w="3234" w:type="pct"/>
            <w:vAlign w:val="center"/>
          </w:tcPr>
          <w:p w14:paraId="265BA2F5">
            <w:pPr>
              <w:snapToGrid w:val="0"/>
              <w:spacing w:line="360" w:lineRule="auto"/>
              <w:jc w:val="center"/>
              <w:rPr>
                <w:rFonts w:ascii="宋体" w:hAnsi="宋体"/>
                <w:sz w:val="24"/>
              </w:rPr>
            </w:pPr>
            <w:r>
              <w:rPr>
                <w:rFonts w:hint="eastAsia" w:ascii="宋体" w:hAnsi="宋体"/>
                <w:sz w:val="24"/>
              </w:rPr>
              <w:t>主要满足门诊部对门诊的效益、工作量、质量、资源、效率统计分析等需求。</w:t>
            </w:r>
          </w:p>
        </w:tc>
        <w:tc>
          <w:tcPr>
            <w:tcW w:w="722" w:type="pct"/>
            <w:vAlign w:val="center"/>
          </w:tcPr>
          <w:p w14:paraId="508AA364">
            <w:pPr>
              <w:widowControl/>
              <w:snapToGrid w:val="0"/>
              <w:spacing w:line="360" w:lineRule="auto"/>
              <w:jc w:val="center"/>
              <w:textAlignment w:val="center"/>
              <w:rPr>
                <w:rFonts w:ascii="宋体" w:hAnsi="宋体"/>
                <w:color w:val="000000"/>
                <w:kern w:val="0"/>
                <w:sz w:val="24"/>
              </w:rPr>
            </w:pPr>
          </w:p>
        </w:tc>
      </w:tr>
      <w:tr w14:paraId="75637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17CE41E3">
            <w:pPr>
              <w:numPr>
                <w:ilvl w:val="0"/>
                <w:numId w:val="1"/>
              </w:numPr>
              <w:snapToGrid w:val="0"/>
              <w:spacing w:line="360" w:lineRule="auto"/>
              <w:jc w:val="center"/>
              <w:rPr>
                <w:rFonts w:ascii="宋体" w:hAnsi="宋体"/>
                <w:sz w:val="24"/>
              </w:rPr>
            </w:pPr>
          </w:p>
        </w:tc>
        <w:tc>
          <w:tcPr>
            <w:tcW w:w="778" w:type="pct"/>
            <w:vAlign w:val="center"/>
          </w:tcPr>
          <w:p w14:paraId="10461FAE">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科室主任管控系统</w:t>
            </w:r>
          </w:p>
        </w:tc>
        <w:tc>
          <w:tcPr>
            <w:tcW w:w="3234" w:type="pct"/>
            <w:vAlign w:val="center"/>
          </w:tcPr>
          <w:p w14:paraId="1B89070C">
            <w:pPr>
              <w:snapToGrid w:val="0"/>
              <w:spacing w:line="360" w:lineRule="auto"/>
              <w:jc w:val="center"/>
              <w:rPr>
                <w:rFonts w:ascii="宋体" w:hAnsi="宋体"/>
                <w:sz w:val="24"/>
              </w:rPr>
            </w:pPr>
            <w:r>
              <w:rPr>
                <w:rFonts w:hint="eastAsia" w:ascii="宋体" w:hAnsi="宋体"/>
                <w:sz w:val="24"/>
              </w:rPr>
              <w:t>主要满足科室主任对本科室的收入分析、门诊分析、住院分析、手术分析、药品分析、材料分析、业务量分析、质量分析、效率分析等管理需求。</w:t>
            </w:r>
          </w:p>
        </w:tc>
        <w:tc>
          <w:tcPr>
            <w:tcW w:w="722" w:type="pct"/>
            <w:vAlign w:val="center"/>
          </w:tcPr>
          <w:p w14:paraId="53516261">
            <w:pPr>
              <w:widowControl/>
              <w:snapToGrid w:val="0"/>
              <w:spacing w:line="360" w:lineRule="auto"/>
              <w:jc w:val="center"/>
              <w:textAlignment w:val="center"/>
              <w:rPr>
                <w:rFonts w:ascii="宋体" w:hAnsi="宋体"/>
                <w:color w:val="000000"/>
                <w:kern w:val="0"/>
                <w:sz w:val="24"/>
              </w:rPr>
            </w:pPr>
          </w:p>
        </w:tc>
      </w:tr>
      <w:tr w14:paraId="5B012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7D47670">
            <w:pPr>
              <w:numPr>
                <w:ilvl w:val="0"/>
                <w:numId w:val="1"/>
              </w:numPr>
              <w:snapToGrid w:val="0"/>
              <w:spacing w:line="360" w:lineRule="auto"/>
              <w:jc w:val="center"/>
              <w:rPr>
                <w:rFonts w:ascii="宋体" w:hAnsi="宋体"/>
                <w:sz w:val="24"/>
              </w:rPr>
            </w:pPr>
          </w:p>
        </w:tc>
        <w:tc>
          <w:tcPr>
            <w:tcW w:w="778" w:type="pct"/>
            <w:vAlign w:val="center"/>
          </w:tcPr>
          <w:p w14:paraId="3CE6CEB2">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科室主任移动管控系统</w:t>
            </w:r>
          </w:p>
        </w:tc>
        <w:tc>
          <w:tcPr>
            <w:tcW w:w="3234" w:type="pct"/>
            <w:vAlign w:val="center"/>
          </w:tcPr>
          <w:p w14:paraId="57CC42A0">
            <w:pPr>
              <w:snapToGrid w:val="0"/>
              <w:spacing w:line="360" w:lineRule="auto"/>
              <w:jc w:val="center"/>
              <w:rPr>
                <w:rFonts w:ascii="宋体" w:hAnsi="宋体"/>
                <w:sz w:val="24"/>
              </w:rPr>
            </w:pPr>
            <w:r>
              <w:rPr>
                <w:rFonts w:hint="eastAsia" w:ascii="宋体" w:hAnsi="宋体"/>
                <w:sz w:val="24"/>
              </w:rPr>
              <w:t>满足科室主任对本科室的移动管理场景，包括收入分析、门诊分析、住院分析、手术分析、药品分析、材料分析、业务量分析、质量分析、效率分析等</w:t>
            </w:r>
          </w:p>
        </w:tc>
        <w:tc>
          <w:tcPr>
            <w:tcW w:w="722" w:type="pct"/>
            <w:vAlign w:val="center"/>
          </w:tcPr>
          <w:p w14:paraId="7D627B1B">
            <w:pPr>
              <w:widowControl/>
              <w:snapToGrid w:val="0"/>
              <w:spacing w:line="360" w:lineRule="auto"/>
              <w:jc w:val="center"/>
              <w:textAlignment w:val="center"/>
              <w:rPr>
                <w:rFonts w:ascii="宋体" w:hAnsi="宋体"/>
                <w:color w:val="000000"/>
                <w:kern w:val="0"/>
                <w:sz w:val="24"/>
              </w:rPr>
            </w:pPr>
          </w:p>
        </w:tc>
      </w:tr>
      <w:tr w14:paraId="2A9E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3F0F4161">
            <w:pPr>
              <w:numPr>
                <w:ilvl w:val="0"/>
                <w:numId w:val="1"/>
              </w:numPr>
              <w:snapToGrid w:val="0"/>
              <w:spacing w:line="360" w:lineRule="auto"/>
              <w:jc w:val="center"/>
              <w:rPr>
                <w:rFonts w:ascii="宋体" w:hAnsi="宋体"/>
                <w:sz w:val="24"/>
              </w:rPr>
            </w:pPr>
          </w:p>
        </w:tc>
        <w:tc>
          <w:tcPr>
            <w:tcW w:w="778" w:type="pct"/>
            <w:vAlign w:val="center"/>
          </w:tcPr>
          <w:p w14:paraId="491BB4F2">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医院后勤物资管理系统</w:t>
            </w:r>
          </w:p>
        </w:tc>
        <w:tc>
          <w:tcPr>
            <w:tcW w:w="3234" w:type="pct"/>
            <w:vAlign w:val="center"/>
          </w:tcPr>
          <w:p w14:paraId="15AAC4FC">
            <w:pPr>
              <w:snapToGrid w:val="0"/>
              <w:spacing w:line="360" w:lineRule="auto"/>
              <w:jc w:val="center"/>
              <w:rPr>
                <w:rFonts w:ascii="宋体" w:hAnsi="宋体"/>
                <w:sz w:val="24"/>
              </w:rPr>
            </w:pPr>
            <w:r>
              <w:rPr>
                <w:rFonts w:hint="eastAsia" w:ascii="宋体" w:hAnsi="宋体"/>
                <w:sz w:val="24"/>
              </w:rPr>
              <w:t>满足医院后勤部门对后勤物质的采购、入库、出库、请领、盘点、报表、库存、维护、常备量库存预警等需求。</w:t>
            </w:r>
          </w:p>
        </w:tc>
        <w:tc>
          <w:tcPr>
            <w:tcW w:w="722" w:type="pct"/>
            <w:vAlign w:val="center"/>
          </w:tcPr>
          <w:p w14:paraId="5FF4746C">
            <w:pPr>
              <w:widowControl/>
              <w:snapToGrid w:val="0"/>
              <w:spacing w:line="360" w:lineRule="auto"/>
              <w:jc w:val="center"/>
              <w:textAlignment w:val="center"/>
              <w:rPr>
                <w:rFonts w:ascii="宋体" w:hAnsi="宋体"/>
                <w:color w:val="000000"/>
                <w:kern w:val="0"/>
                <w:sz w:val="24"/>
              </w:rPr>
            </w:pPr>
          </w:p>
        </w:tc>
      </w:tr>
      <w:tr w14:paraId="1F0A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967B0C8">
            <w:pPr>
              <w:numPr>
                <w:ilvl w:val="0"/>
                <w:numId w:val="1"/>
              </w:numPr>
              <w:snapToGrid w:val="0"/>
              <w:spacing w:line="360" w:lineRule="auto"/>
              <w:jc w:val="center"/>
              <w:rPr>
                <w:rFonts w:ascii="宋体" w:hAnsi="宋体"/>
                <w:sz w:val="24"/>
              </w:rPr>
            </w:pPr>
          </w:p>
        </w:tc>
        <w:tc>
          <w:tcPr>
            <w:tcW w:w="778" w:type="pct"/>
            <w:vAlign w:val="center"/>
          </w:tcPr>
          <w:p w14:paraId="73E8264D">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医院消毒供应室追溯系统</w:t>
            </w:r>
          </w:p>
        </w:tc>
        <w:tc>
          <w:tcPr>
            <w:tcW w:w="3234" w:type="pct"/>
            <w:vAlign w:val="center"/>
          </w:tcPr>
          <w:p w14:paraId="36C5FD94">
            <w:pPr>
              <w:snapToGrid w:val="0"/>
              <w:spacing w:line="360" w:lineRule="auto"/>
              <w:jc w:val="center"/>
              <w:rPr>
                <w:rFonts w:ascii="宋体" w:hAnsi="宋体"/>
                <w:sz w:val="24"/>
              </w:rPr>
            </w:pPr>
            <w:r>
              <w:rPr>
                <w:rFonts w:hint="eastAsia" w:ascii="宋体" w:hAnsi="宋体"/>
                <w:sz w:val="24"/>
              </w:rPr>
              <w:t>满足医院消毒供应室对供应室内部十大流程、科室使用管理、外来器械管理、追溯管理、质控管理、查询管理等主要需求。</w:t>
            </w:r>
          </w:p>
        </w:tc>
        <w:tc>
          <w:tcPr>
            <w:tcW w:w="722" w:type="pct"/>
            <w:vAlign w:val="center"/>
          </w:tcPr>
          <w:p w14:paraId="1555D6B8">
            <w:pPr>
              <w:widowControl/>
              <w:snapToGrid w:val="0"/>
              <w:spacing w:line="360" w:lineRule="auto"/>
              <w:jc w:val="center"/>
              <w:textAlignment w:val="center"/>
              <w:rPr>
                <w:rFonts w:ascii="宋体" w:hAnsi="宋体"/>
                <w:color w:val="000000"/>
                <w:kern w:val="0"/>
                <w:sz w:val="24"/>
              </w:rPr>
            </w:pPr>
          </w:p>
        </w:tc>
      </w:tr>
      <w:tr w14:paraId="36320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41B007B">
            <w:pPr>
              <w:numPr>
                <w:ilvl w:val="0"/>
                <w:numId w:val="1"/>
              </w:numPr>
              <w:snapToGrid w:val="0"/>
              <w:spacing w:line="360" w:lineRule="auto"/>
              <w:jc w:val="center"/>
              <w:rPr>
                <w:rFonts w:ascii="宋体" w:hAnsi="宋体"/>
                <w:sz w:val="24"/>
              </w:rPr>
            </w:pPr>
          </w:p>
        </w:tc>
        <w:tc>
          <w:tcPr>
            <w:tcW w:w="778" w:type="pct"/>
            <w:vAlign w:val="center"/>
          </w:tcPr>
          <w:p w14:paraId="3AFF2F15">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高值耗材管理系统</w:t>
            </w:r>
          </w:p>
        </w:tc>
        <w:tc>
          <w:tcPr>
            <w:tcW w:w="3234" w:type="pct"/>
            <w:vAlign w:val="center"/>
          </w:tcPr>
          <w:p w14:paraId="05663045">
            <w:pPr>
              <w:snapToGrid w:val="0"/>
              <w:spacing w:line="360" w:lineRule="auto"/>
              <w:jc w:val="center"/>
              <w:rPr>
                <w:rFonts w:ascii="宋体" w:hAnsi="宋体"/>
                <w:sz w:val="24"/>
              </w:rPr>
            </w:pPr>
            <w:r>
              <w:rPr>
                <w:rFonts w:hint="eastAsia" w:ascii="宋体" w:hAnsi="宋体"/>
                <w:sz w:val="24"/>
              </w:rPr>
              <w:t>满足管理部门对医院高值耗材的库存管理、费用管理、条码测试等管理需求。</w:t>
            </w:r>
          </w:p>
        </w:tc>
        <w:tc>
          <w:tcPr>
            <w:tcW w:w="722" w:type="pct"/>
            <w:vAlign w:val="center"/>
          </w:tcPr>
          <w:p w14:paraId="3307AA02">
            <w:pPr>
              <w:widowControl/>
              <w:snapToGrid w:val="0"/>
              <w:spacing w:line="360" w:lineRule="auto"/>
              <w:jc w:val="center"/>
              <w:textAlignment w:val="center"/>
              <w:rPr>
                <w:rFonts w:ascii="宋体" w:hAnsi="宋体"/>
                <w:color w:val="000000"/>
                <w:kern w:val="0"/>
                <w:sz w:val="24"/>
              </w:rPr>
            </w:pPr>
          </w:p>
        </w:tc>
      </w:tr>
      <w:tr w14:paraId="2F310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104DBFB5">
            <w:pPr>
              <w:numPr>
                <w:ilvl w:val="0"/>
                <w:numId w:val="1"/>
              </w:numPr>
              <w:snapToGrid w:val="0"/>
              <w:spacing w:line="360" w:lineRule="auto"/>
              <w:jc w:val="center"/>
              <w:rPr>
                <w:rFonts w:ascii="宋体" w:hAnsi="宋体"/>
                <w:sz w:val="24"/>
              </w:rPr>
            </w:pPr>
          </w:p>
        </w:tc>
        <w:tc>
          <w:tcPr>
            <w:tcW w:w="778" w:type="pct"/>
            <w:vAlign w:val="center"/>
          </w:tcPr>
          <w:p w14:paraId="32B3D979">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预算管理系统</w:t>
            </w:r>
          </w:p>
        </w:tc>
        <w:tc>
          <w:tcPr>
            <w:tcW w:w="3234" w:type="pct"/>
            <w:vAlign w:val="center"/>
          </w:tcPr>
          <w:p w14:paraId="2D7F21D8">
            <w:pPr>
              <w:snapToGrid w:val="0"/>
              <w:spacing w:line="360" w:lineRule="auto"/>
              <w:jc w:val="center"/>
              <w:rPr>
                <w:rFonts w:ascii="宋体" w:hAnsi="宋体"/>
                <w:sz w:val="24"/>
              </w:rPr>
            </w:pPr>
            <w:r>
              <w:rPr>
                <w:rFonts w:hint="eastAsia" w:ascii="宋体" w:hAnsi="宋体"/>
                <w:sz w:val="24"/>
              </w:rPr>
              <w:t>满足财务科对预算方案管理、预算申请、预算审核、预算执行、预算调整、预算报表、预算分析等工作需求。</w:t>
            </w:r>
          </w:p>
        </w:tc>
        <w:tc>
          <w:tcPr>
            <w:tcW w:w="722" w:type="pct"/>
            <w:vAlign w:val="center"/>
          </w:tcPr>
          <w:p w14:paraId="7C6ED00C">
            <w:pPr>
              <w:widowControl/>
              <w:snapToGrid w:val="0"/>
              <w:spacing w:line="360" w:lineRule="auto"/>
              <w:jc w:val="center"/>
              <w:textAlignment w:val="center"/>
              <w:rPr>
                <w:rFonts w:ascii="宋体" w:hAnsi="宋体"/>
                <w:color w:val="000000"/>
                <w:kern w:val="0"/>
                <w:sz w:val="24"/>
              </w:rPr>
            </w:pPr>
          </w:p>
        </w:tc>
      </w:tr>
      <w:tr w14:paraId="2B20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2CB8B837">
            <w:pPr>
              <w:numPr>
                <w:ilvl w:val="0"/>
                <w:numId w:val="1"/>
              </w:numPr>
              <w:snapToGrid w:val="0"/>
              <w:spacing w:line="360" w:lineRule="auto"/>
              <w:jc w:val="center"/>
              <w:rPr>
                <w:rFonts w:ascii="宋体" w:hAnsi="宋体"/>
                <w:sz w:val="24"/>
              </w:rPr>
            </w:pPr>
          </w:p>
        </w:tc>
        <w:tc>
          <w:tcPr>
            <w:tcW w:w="778" w:type="pct"/>
            <w:vAlign w:val="center"/>
          </w:tcPr>
          <w:p w14:paraId="0F9799DD">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医院考试移动管控平台</w:t>
            </w:r>
          </w:p>
        </w:tc>
        <w:tc>
          <w:tcPr>
            <w:tcW w:w="3234" w:type="pct"/>
            <w:vAlign w:val="center"/>
          </w:tcPr>
          <w:p w14:paraId="6744F298">
            <w:pPr>
              <w:snapToGrid w:val="0"/>
              <w:spacing w:line="360" w:lineRule="auto"/>
              <w:jc w:val="center"/>
              <w:rPr>
                <w:rFonts w:ascii="宋体" w:hAnsi="宋体"/>
                <w:sz w:val="24"/>
              </w:rPr>
            </w:pPr>
            <w:r>
              <w:rPr>
                <w:rFonts w:hint="eastAsia" w:ascii="宋体" w:hAnsi="宋体"/>
                <w:sz w:val="24"/>
              </w:rPr>
              <w:t>满足医院医护人员培训的移动端学习考试需求，包括培训的题库管理、考试管理、课件管理、培训管理、学习管理等。</w:t>
            </w:r>
          </w:p>
        </w:tc>
        <w:tc>
          <w:tcPr>
            <w:tcW w:w="722" w:type="pct"/>
            <w:vAlign w:val="center"/>
          </w:tcPr>
          <w:p w14:paraId="6E517E2C">
            <w:pPr>
              <w:widowControl/>
              <w:snapToGrid w:val="0"/>
              <w:spacing w:line="360" w:lineRule="auto"/>
              <w:jc w:val="center"/>
              <w:textAlignment w:val="center"/>
              <w:rPr>
                <w:rFonts w:ascii="宋体" w:hAnsi="宋体"/>
                <w:color w:val="000000"/>
                <w:kern w:val="0"/>
                <w:sz w:val="24"/>
              </w:rPr>
            </w:pPr>
          </w:p>
        </w:tc>
      </w:tr>
      <w:tr w14:paraId="226E5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63ACB37E">
            <w:pPr>
              <w:numPr>
                <w:ilvl w:val="0"/>
                <w:numId w:val="1"/>
              </w:numPr>
              <w:snapToGrid w:val="0"/>
              <w:spacing w:line="360" w:lineRule="auto"/>
              <w:jc w:val="center"/>
              <w:rPr>
                <w:rFonts w:ascii="宋体" w:hAnsi="宋体"/>
                <w:sz w:val="24"/>
              </w:rPr>
            </w:pPr>
          </w:p>
        </w:tc>
        <w:tc>
          <w:tcPr>
            <w:tcW w:w="778" w:type="pct"/>
            <w:vAlign w:val="center"/>
          </w:tcPr>
          <w:p w14:paraId="1FB51674">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医院预约管理中心</w:t>
            </w:r>
          </w:p>
        </w:tc>
        <w:tc>
          <w:tcPr>
            <w:tcW w:w="3234" w:type="pct"/>
            <w:vAlign w:val="center"/>
          </w:tcPr>
          <w:p w14:paraId="22D43998">
            <w:pPr>
              <w:snapToGrid w:val="0"/>
              <w:spacing w:line="360" w:lineRule="auto"/>
              <w:jc w:val="center"/>
              <w:rPr>
                <w:rFonts w:ascii="宋体" w:hAnsi="宋体"/>
                <w:sz w:val="24"/>
              </w:rPr>
            </w:pPr>
            <w:r>
              <w:rPr>
                <w:rFonts w:hint="eastAsia" w:ascii="宋体" w:hAnsi="宋体"/>
                <w:sz w:val="24"/>
              </w:rPr>
              <w:t>应满足医院预约管理中心的工作需求，提供预约规则维护，相关数据统计分析等工作支撑。</w:t>
            </w:r>
          </w:p>
        </w:tc>
        <w:tc>
          <w:tcPr>
            <w:tcW w:w="722" w:type="pct"/>
            <w:vAlign w:val="center"/>
          </w:tcPr>
          <w:p w14:paraId="545E01EB">
            <w:pPr>
              <w:widowControl/>
              <w:snapToGrid w:val="0"/>
              <w:spacing w:line="360" w:lineRule="auto"/>
              <w:jc w:val="center"/>
              <w:textAlignment w:val="center"/>
              <w:rPr>
                <w:rFonts w:ascii="宋体" w:hAnsi="宋体"/>
                <w:color w:val="000000"/>
                <w:kern w:val="0"/>
                <w:sz w:val="24"/>
              </w:rPr>
            </w:pPr>
          </w:p>
        </w:tc>
      </w:tr>
      <w:tr w14:paraId="234CC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26C8538D">
            <w:pPr>
              <w:numPr>
                <w:ilvl w:val="0"/>
                <w:numId w:val="1"/>
              </w:numPr>
              <w:snapToGrid w:val="0"/>
              <w:spacing w:line="360" w:lineRule="auto"/>
              <w:jc w:val="center"/>
              <w:rPr>
                <w:rFonts w:ascii="宋体" w:hAnsi="宋体"/>
                <w:sz w:val="24"/>
              </w:rPr>
            </w:pPr>
          </w:p>
        </w:tc>
        <w:tc>
          <w:tcPr>
            <w:tcW w:w="778" w:type="pct"/>
            <w:vAlign w:val="center"/>
          </w:tcPr>
          <w:p w14:paraId="278F4572">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医院分诊叫号系统</w:t>
            </w:r>
          </w:p>
        </w:tc>
        <w:tc>
          <w:tcPr>
            <w:tcW w:w="3234" w:type="pct"/>
            <w:vAlign w:val="center"/>
          </w:tcPr>
          <w:p w14:paraId="6938FDA5">
            <w:pPr>
              <w:snapToGrid w:val="0"/>
              <w:spacing w:line="360" w:lineRule="auto"/>
              <w:jc w:val="center"/>
              <w:rPr>
                <w:rFonts w:ascii="宋体" w:hAnsi="宋体"/>
                <w:sz w:val="24"/>
              </w:rPr>
            </w:pPr>
            <w:r>
              <w:rPr>
                <w:rFonts w:hint="eastAsia" w:ascii="宋体" w:hAnsi="宋体"/>
                <w:sz w:val="24"/>
              </w:rPr>
              <w:t>主要满足关于自助分诊、分诊叫号、信息查询、工作站管理、权限设置、等待时间统计分析等需求。</w:t>
            </w:r>
          </w:p>
        </w:tc>
        <w:tc>
          <w:tcPr>
            <w:tcW w:w="722" w:type="pct"/>
            <w:vAlign w:val="center"/>
          </w:tcPr>
          <w:p w14:paraId="4473F1E3">
            <w:pPr>
              <w:widowControl/>
              <w:snapToGrid w:val="0"/>
              <w:spacing w:line="360" w:lineRule="auto"/>
              <w:jc w:val="center"/>
              <w:textAlignment w:val="center"/>
              <w:rPr>
                <w:rFonts w:ascii="宋体" w:hAnsi="宋体"/>
                <w:color w:val="000000"/>
                <w:kern w:val="0"/>
                <w:sz w:val="24"/>
              </w:rPr>
            </w:pPr>
          </w:p>
        </w:tc>
      </w:tr>
      <w:tr w14:paraId="4205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CE50747">
            <w:pPr>
              <w:numPr>
                <w:ilvl w:val="0"/>
                <w:numId w:val="1"/>
              </w:numPr>
              <w:snapToGrid w:val="0"/>
              <w:spacing w:line="360" w:lineRule="auto"/>
              <w:jc w:val="center"/>
              <w:rPr>
                <w:rFonts w:ascii="宋体" w:hAnsi="宋体"/>
                <w:sz w:val="24"/>
              </w:rPr>
            </w:pPr>
          </w:p>
        </w:tc>
        <w:tc>
          <w:tcPr>
            <w:tcW w:w="778" w:type="pct"/>
            <w:vAlign w:val="center"/>
          </w:tcPr>
          <w:p w14:paraId="0F61F33E">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床旁结算系统</w:t>
            </w:r>
          </w:p>
        </w:tc>
        <w:tc>
          <w:tcPr>
            <w:tcW w:w="3234" w:type="pct"/>
            <w:vAlign w:val="center"/>
          </w:tcPr>
          <w:p w14:paraId="19A31687">
            <w:pPr>
              <w:snapToGrid w:val="0"/>
              <w:spacing w:line="360" w:lineRule="auto"/>
              <w:jc w:val="center"/>
              <w:rPr>
                <w:rFonts w:ascii="宋体" w:hAnsi="宋体"/>
                <w:sz w:val="24"/>
              </w:rPr>
            </w:pPr>
            <w:r>
              <w:rPr>
                <w:rFonts w:hint="eastAsia" w:ascii="宋体" w:hAnsi="宋体"/>
                <w:sz w:val="24"/>
              </w:rPr>
              <w:t>主要满足面向患者提供床旁结算所需的护士结算、费别确认、医保登记、结算出院等工作需求。</w:t>
            </w:r>
          </w:p>
        </w:tc>
        <w:tc>
          <w:tcPr>
            <w:tcW w:w="722" w:type="pct"/>
            <w:vAlign w:val="center"/>
          </w:tcPr>
          <w:p w14:paraId="3CEEC460">
            <w:pPr>
              <w:widowControl/>
              <w:snapToGrid w:val="0"/>
              <w:spacing w:line="360" w:lineRule="auto"/>
              <w:jc w:val="center"/>
              <w:textAlignment w:val="center"/>
              <w:rPr>
                <w:rFonts w:ascii="宋体" w:hAnsi="宋体"/>
                <w:color w:val="000000"/>
                <w:kern w:val="0"/>
                <w:sz w:val="24"/>
              </w:rPr>
            </w:pPr>
          </w:p>
        </w:tc>
      </w:tr>
      <w:tr w14:paraId="7F4B8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BE0EFDD">
            <w:pPr>
              <w:numPr>
                <w:ilvl w:val="0"/>
                <w:numId w:val="1"/>
              </w:numPr>
              <w:snapToGrid w:val="0"/>
              <w:spacing w:line="360" w:lineRule="auto"/>
              <w:jc w:val="center"/>
              <w:rPr>
                <w:rFonts w:ascii="宋体" w:hAnsi="宋体"/>
                <w:sz w:val="24"/>
              </w:rPr>
            </w:pPr>
          </w:p>
        </w:tc>
        <w:tc>
          <w:tcPr>
            <w:tcW w:w="778" w:type="pct"/>
            <w:vAlign w:val="center"/>
          </w:tcPr>
          <w:p w14:paraId="03BD7FE5">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医保结算清单系统</w:t>
            </w:r>
          </w:p>
        </w:tc>
        <w:tc>
          <w:tcPr>
            <w:tcW w:w="3234" w:type="pct"/>
            <w:vAlign w:val="center"/>
          </w:tcPr>
          <w:p w14:paraId="09B9AEF8">
            <w:pPr>
              <w:snapToGrid w:val="0"/>
              <w:spacing w:line="360" w:lineRule="auto"/>
              <w:jc w:val="center"/>
              <w:rPr>
                <w:rFonts w:ascii="宋体" w:hAnsi="宋体"/>
                <w:sz w:val="24"/>
              </w:rPr>
            </w:pPr>
            <w:r>
              <w:rPr>
                <w:rFonts w:hint="eastAsia" w:ascii="宋体" w:hAnsi="宋体"/>
                <w:sz w:val="24"/>
              </w:rPr>
              <w:t>满足医保办对医保结算清单生成、清单质控、清单审核、结算清单上传、统计分析等需求。</w:t>
            </w:r>
          </w:p>
        </w:tc>
        <w:tc>
          <w:tcPr>
            <w:tcW w:w="722" w:type="pct"/>
            <w:vAlign w:val="center"/>
          </w:tcPr>
          <w:p w14:paraId="76195BA5">
            <w:pPr>
              <w:widowControl/>
              <w:snapToGrid w:val="0"/>
              <w:spacing w:line="360" w:lineRule="auto"/>
              <w:jc w:val="center"/>
              <w:textAlignment w:val="center"/>
              <w:rPr>
                <w:rFonts w:ascii="宋体" w:hAnsi="宋体"/>
                <w:color w:val="000000"/>
                <w:kern w:val="0"/>
                <w:sz w:val="24"/>
              </w:rPr>
            </w:pPr>
          </w:p>
        </w:tc>
      </w:tr>
      <w:tr w14:paraId="39714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7F6F97FD">
            <w:pPr>
              <w:numPr>
                <w:ilvl w:val="0"/>
                <w:numId w:val="1"/>
              </w:numPr>
              <w:snapToGrid w:val="0"/>
              <w:spacing w:line="360" w:lineRule="auto"/>
              <w:jc w:val="center"/>
              <w:rPr>
                <w:rFonts w:ascii="宋体" w:hAnsi="宋体"/>
                <w:sz w:val="24"/>
              </w:rPr>
            </w:pPr>
          </w:p>
        </w:tc>
        <w:tc>
          <w:tcPr>
            <w:tcW w:w="778" w:type="pct"/>
            <w:vAlign w:val="center"/>
          </w:tcPr>
          <w:p w14:paraId="60C33F91">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医保智能审核系统</w:t>
            </w:r>
          </w:p>
        </w:tc>
        <w:tc>
          <w:tcPr>
            <w:tcW w:w="3234" w:type="pct"/>
            <w:vAlign w:val="center"/>
          </w:tcPr>
          <w:p w14:paraId="24CECB9F">
            <w:pPr>
              <w:snapToGrid w:val="0"/>
              <w:spacing w:line="360" w:lineRule="auto"/>
              <w:jc w:val="center"/>
              <w:rPr>
                <w:rFonts w:ascii="宋体" w:hAnsi="宋体"/>
                <w:sz w:val="24"/>
              </w:rPr>
            </w:pPr>
            <w:r>
              <w:rPr>
                <w:rFonts w:hint="eastAsia" w:ascii="宋体" w:hAnsi="宋体"/>
                <w:sz w:val="24"/>
              </w:rPr>
              <w:t>满足医保办关于医保智能审核、医保违规提醒、统计分析、规则维护等需求。</w:t>
            </w:r>
          </w:p>
        </w:tc>
        <w:tc>
          <w:tcPr>
            <w:tcW w:w="722" w:type="pct"/>
            <w:vAlign w:val="center"/>
          </w:tcPr>
          <w:p w14:paraId="7F955D06">
            <w:pPr>
              <w:widowControl/>
              <w:snapToGrid w:val="0"/>
              <w:spacing w:line="360" w:lineRule="auto"/>
              <w:jc w:val="center"/>
              <w:textAlignment w:val="center"/>
              <w:rPr>
                <w:rFonts w:ascii="宋体" w:hAnsi="宋体"/>
                <w:color w:val="000000"/>
                <w:kern w:val="0"/>
                <w:sz w:val="24"/>
              </w:rPr>
            </w:pPr>
          </w:p>
        </w:tc>
      </w:tr>
      <w:tr w14:paraId="750D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28453937">
            <w:pPr>
              <w:numPr>
                <w:ilvl w:val="0"/>
                <w:numId w:val="1"/>
              </w:numPr>
              <w:snapToGrid w:val="0"/>
              <w:spacing w:line="360" w:lineRule="auto"/>
              <w:jc w:val="center"/>
              <w:rPr>
                <w:rFonts w:ascii="宋体" w:hAnsi="宋体"/>
                <w:sz w:val="24"/>
              </w:rPr>
            </w:pPr>
          </w:p>
        </w:tc>
        <w:tc>
          <w:tcPr>
            <w:tcW w:w="778" w:type="pct"/>
            <w:vAlign w:val="center"/>
          </w:tcPr>
          <w:p w14:paraId="67361645">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医保门诊慢特病管理系统</w:t>
            </w:r>
          </w:p>
        </w:tc>
        <w:tc>
          <w:tcPr>
            <w:tcW w:w="3234" w:type="pct"/>
            <w:vAlign w:val="center"/>
          </w:tcPr>
          <w:p w14:paraId="688E8D18">
            <w:pPr>
              <w:snapToGrid w:val="0"/>
              <w:spacing w:line="360" w:lineRule="auto"/>
              <w:jc w:val="center"/>
              <w:rPr>
                <w:rFonts w:ascii="宋体" w:hAnsi="宋体"/>
                <w:sz w:val="24"/>
              </w:rPr>
            </w:pPr>
            <w:r>
              <w:rPr>
                <w:rFonts w:hint="eastAsia" w:ascii="宋体" w:hAnsi="宋体"/>
                <w:sz w:val="24"/>
              </w:rPr>
              <w:t>主要满足关于慢病用药/检验/检查提醒、慢病患者病种金额提示、慢病规则维护、慢病报销分析等需求。</w:t>
            </w:r>
          </w:p>
        </w:tc>
        <w:tc>
          <w:tcPr>
            <w:tcW w:w="722" w:type="pct"/>
            <w:vAlign w:val="center"/>
          </w:tcPr>
          <w:p w14:paraId="009F3E44">
            <w:pPr>
              <w:widowControl/>
              <w:snapToGrid w:val="0"/>
              <w:spacing w:line="360" w:lineRule="auto"/>
              <w:jc w:val="center"/>
              <w:textAlignment w:val="center"/>
              <w:rPr>
                <w:rFonts w:ascii="宋体" w:hAnsi="宋体"/>
                <w:color w:val="000000"/>
                <w:kern w:val="0"/>
                <w:sz w:val="24"/>
              </w:rPr>
            </w:pPr>
          </w:p>
        </w:tc>
      </w:tr>
      <w:tr w14:paraId="1DD817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3A32F5D">
            <w:pPr>
              <w:numPr>
                <w:ilvl w:val="0"/>
                <w:numId w:val="1"/>
              </w:numPr>
              <w:snapToGrid w:val="0"/>
              <w:spacing w:line="360" w:lineRule="auto"/>
              <w:jc w:val="center"/>
              <w:rPr>
                <w:rFonts w:ascii="宋体" w:hAnsi="宋体"/>
                <w:sz w:val="24"/>
              </w:rPr>
            </w:pPr>
          </w:p>
        </w:tc>
        <w:tc>
          <w:tcPr>
            <w:tcW w:w="778" w:type="pct"/>
            <w:vAlign w:val="center"/>
          </w:tcPr>
          <w:p w14:paraId="422245EA">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医保违规申诉系统</w:t>
            </w:r>
          </w:p>
        </w:tc>
        <w:tc>
          <w:tcPr>
            <w:tcW w:w="3234" w:type="pct"/>
            <w:vAlign w:val="center"/>
          </w:tcPr>
          <w:p w14:paraId="0E1C06D5">
            <w:pPr>
              <w:snapToGrid w:val="0"/>
              <w:spacing w:line="360" w:lineRule="auto"/>
              <w:jc w:val="center"/>
              <w:rPr>
                <w:rFonts w:ascii="宋体" w:hAnsi="宋体"/>
                <w:sz w:val="24"/>
              </w:rPr>
            </w:pPr>
            <w:r>
              <w:rPr>
                <w:rFonts w:hint="eastAsia" w:ascii="宋体" w:hAnsi="宋体"/>
                <w:sz w:val="24"/>
              </w:rPr>
              <w:t>满足医保费用违规数据一键导入、违规申述下发、违规数据统计、详细信息查看等工作需求。</w:t>
            </w:r>
          </w:p>
        </w:tc>
        <w:tc>
          <w:tcPr>
            <w:tcW w:w="722" w:type="pct"/>
            <w:vAlign w:val="center"/>
          </w:tcPr>
          <w:p w14:paraId="3C48ADFC">
            <w:pPr>
              <w:widowControl/>
              <w:snapToGrid w:val="0"/>
              <w:spacing w:line="360" w:lineRule="auto"/>
              <w:jc w:val="center"/>
              <w:textAlignment w:val="center"/>
              <w:rPr>
                <w:rFonts w:ascii="宋体" w:hAnsi="宋体"/>
                <w:color w:val="000000"/>
                <w:kern w:val="0"/>
                <w:sz w:val="24"/>
              </w:rPr>
            </w:pPr>
          </w:p>
        </w:tc>
      </w:tr>
      <w:tr w14:paraId="7F5E5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3F78B7E3">
            <w:pPr>
              <w:numPr>
                <w:ilvl w:val="0"/>
                <w:numId w:val="1"/>
              </w:numPr>
              <w:snapToGrid w:val="0"/>
              <w:spacing w:line="360" w:lineRule="auto"/>
              <w:jc w:val="center"/>
              <w:rPr>
                <w:rFonts w:ascii="宋体" w:hAnsi="宋体"/>
                <w:sz w:val="24"/>
              </w:rPr>
            </w:pPr>
          </w:p>
        </w:tc>
        <w:tc>
          <w:tcPr>
            <w:tcW w:w="778" w:type="pct"/>
            <w:vAlign w:val="center"/>
          </w:tcPr>
          <w:p w14:paraId="46217461">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药材追溯码管理系统</w:t>
            </w:r>
          </w:p>
        </w:tc>
        <w:tc>
          <w:tcPr>
            <w:tcW w:w="3234" w:type="pct"/>
            <w:vAlign w:val="center"/>
          </w:tcPr>
          <w:p w14:paraId="005A8497">
            <w:pPr>
              <w:snapToGrid w:val="0"/>
              <w:spacing w:line="360" w:lineRule="auto"/>
              <w:jc w:val="center"/>
              <w:rPr>
                <w:rFonts w:ascii="宋体" w:hAnsi="宋体"/>
                <w:sz w:val="24"/>
              </w:rPr>
            </w:pPr>
            <w:r>
              <w:rPr>
                <w:rFonts w:hint="eastAsia" w:ascii="宋体" w:hAnsi="宋体"/>
                <w:sz w:val="24"/>
              </w:rPr>
              <w:t>满足医院应对药品和高值耗材追溯码的上传和管理要求、提供追溯码上传管理、销售查询、盘存查询、采购查询、上传设置等支持。</w:t>
            </w:r>
          </w:p>
        </w:tc>
        <w:tc>
          <w:tcPr>
            <w:tcW w:w="722" w:type="pct"/>
            <w:vAlign w:val="center"/>
          </w:tcPr>
          <w:p w14:paraId="6E13B832">
            <w:pPr>
              <w:widowControl/>
              <w:snapToGrid w:val="0"/>
              <w:spacing w:line="360" w:lineRule="auto"/>
              <w:jc w:val="center"/>
              <w:textAlignment w:val="center"/>
              <w:rPr>
                <w:rFonts w:ascii="宋体" w:hAnsi="宋体"/>
                <w:color w:val="000000"/>
                <w:kern w:val="0"/>
                <w:sz w:val="24"/>
              </w:rPr>
            </w:pPr>
          </w:p>
        </w:tc>
      </w:tr>
      <w:tr w14:paraId="2312A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2E9D66C2">
            <w:pPr>
              <w:numPr>
                <w:ilvl w:val="0"/>
                <w:numId w:val="1"/>
              </w:numPr>
              <w:snapToGrid w:val="0"/>
              <w:spacing w:line="360" w:lineRule="auto"/>
              <w:jc w:val="center"/>
              <w:rPr>
                <w:rFonts w:ascii="宋体" w:hAnsi="宋体"/>
                <w:sz w:val="24"/>
              </w:rPr>
            </w:pPr>
          </w:p>
        </w:tc>
        <w:tc>
          <w:tcPr>
            <w:tcW w:w="778" w:type="pct"/>
            <w:vAlign w:val="center"/>
          </w:tcPr>
          <w:p w14:paraId="293AECD1">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DRG运营监测系统</w:t>
            </w:r>
          </w:p>
        </w:tc>
        <w:tc>
          <w:tcPr>
            <w:tcW w:w="3234" w:type="pct"/>
            <w:vAlign w:val="center"/>
          </w:tcPr>
          <w:p w14:paraId="770F95CF">
            <w:pPr>
              <w:snapToGrid w:val="0"/>
              <w:spacing w:line="360" w:lineRule="auto"/>
              <w:jc w:val="center"/>
              <w:rPr>
                <w:rFonts w:ascii="宋体" w:hAnsi="宋体"/>
                <w:sz w:val="24"/>
              </w:rPr>
            </w:pPr>
            <w:r>
              <w:rPr>
                <w:rFonts w:hint="eastAsia" w:ascii="宋体" w:hAnsi="宋体"/>
                <w:sz w:val="24"/>
              </w:rPr>
              <w:t>满足医保办对DRG支付的结余分析、病组分析、MDC与ADRG分析、医疗服务、患者监测、管理与统计、DRG模拟分组等需求。</w:t>
            </w:r>
          </w:p>
        </w:tc>
        <w:tc>
          <w:tcPr>
            <w:tcW w:w="722" w:type="pct"/>
            <w:vAlign w:val="center"/>
          </w:tcPr>
          <w:p w14:paraId="6DA592FA">
            <w:pPr>
              <w:widowControl/>
              <w:snapToGrid w:val="0"/>
              <w:spacing w:line="360" w:lineRule="auto"/>
              <w:jc w:val="center"/>
              <w:textAlignment w:val="center"/>
              <w:rPr>
                <w:rFonts w:ascii="宋体" w:hAnsi="宋体"/>
                <w:color w:val="000000"/>
                <w:kern w:val="0"/>
                <w:sz w:val="24"/>
              </w:rPr>
            </w:pPr>
          </w:p>
        </w:tc>
      </w:tr>
      <w:tr w14:paraId="5667F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1485DD30">
            <w:pPr>
              <w:numPr>
                <w:ilvl w:val="0"/>
                <w:numId w:val="1"/>
              </w:numPr>
              <w:snapToGrid w:val="0"/>
              <w:spacing w:line="360" w:lineRule="auto"/>
              <w:jc w:val="center"/>
              <w:rPr>
                <w:rFonts w:ascii="宋体" w:hAnsi="宋体"/>
                <w:sz w:val="24"/>
              </w:rPr>
            </w:pPr>
          </w:p>
        </w:tc>
        <w:tc>
          <w:tcPr>
            <w:tcW w:w="778" w:type="pct"/>
            <w:vAlign w:val="center"/>
          </w:tcPr>
          <w:p w14:paraId="51500A51">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智能诊断编码服务系统</w:t>
            </w:r>
          </w:p>
        </w:tc>
        <w:tc>
          <w:tcPr>
            <w:tcW w:w="3234" w:type="pct"/>
            <w:vAlign w:val="center"/>
          </w:tcPr>
          <w:p w14:paraId="2D783087">
            <w:pPr>
              <w:snapToGrid w:val="0"/>
              <w:spacing w:line="360" w:lineRule="auto"/>
              <w:jc w:val="center"/>
              <w:rPr>
                <w:rFonts w:ascii="宋体" w:hAnsi="宋体"/>
                <w:sz w:val="24"/>
              </w:rPr>
            </w:pPr>
            <w:r>
              <w:rPr>
                <w:rFonts w:hint="eastAsia" w:ascii="宋体" w:hAnsi="宋体"/>
                <w:sz w:val="24"/>
              </w:rPr>
              <w:t>主要满足为医生提供智能疾病编码提示、智能诊断自动编码、诊断编码规则引导等需求。</w:t>
            </w:r>
          </w:p>
        </w:tc>
        <w:tc>
          <w:tcPr>
            <w:tcW w:w="722" w:type="pct"/>
            <w:vAlign w:val="center"/>
          </w:tcPr>
          <w:p w14:paraId="6EEEA72E">
            <w:pPr>
              <w:widowControl/>
              <w:snapToGrid w:val="0"/>
              <w:spacing w:line="360" w:lineRule="auto"/>
              <w:jc w:val="center"/>
              <w:textAlignment w:val="center"/>
              <w:rPr>
                <w:rFonts w:ascii="宋体" w:hAnsi="宋体"/>
                <w:color w:val="000000"/>
                <w:kern w:val="0"/>
                <w:sz w:val="24"/>
              </w:rPr>
            </w:pPr>
          </w:p>
        </w:tc>
      </w:tr>
      <w:tr w14:paraId="411E8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4732F5C8">
            <w:pPr>
              <w:numPr>
                <w:ilvl w:val="0"/>
                <w:numId w:val="1"/>
              </w:numPr>
              <w:snapToGrid w:val="0"/>
              <w:spacing w:line="360" w:lineRule="auto"/>
              <w:jc w:val="center"/>
              <w:rPr>
                <w:rFonts w:ascii="宋体" w:hAnsi="宋体"/>
                <w:sz w:val="24"/>
              </w:rPr>
            </w:pPr>
          </w:p>
        </w:tc>
        <w:tc>
          <w:tcPr>
            <w:tcW w:w="778" w:type="pct"/>
            <w:vAlign w:val="center"/>
          </w:tcPr>
          <w:p w14:paraId="004D6E6B">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院内感染智能处理平台</w:t>
            </w:r>
          </w:p>
        </w:tc>
        <w:tc>
          <w:tcPr>
            <w:tcW w:w="3234" w:type="pct"/>
            <w:vAlign w:val="center"/>
          </w:tcPr>
          <w:p w14:paraId="31C4D39A">
            <w:pPr>
              <w:snapToGrid w:val="0"/>
              <w:spacing w:line="360" w:lineRule="auto"/>
              <w:jc w:val="center"/>
              <w:rPr>
                <w:rFonts w:ascii="宋体" w:hAnsi="宋体"/>
                <w:sz w:val="24"/>
              </w:rPr>
            </w:pPr>
            <w:r>
              <w:rPr>
                <w:rFonts w:hint="eastAsia" w:ascii="宋体" w:hAnsi="宋体"/>
                <w:sz w:val="24"/>
              </w:rPr>
              <w:t>满足院感科实现智能院感预警、病历感染因素溯源、感染自动诊断、复发/继发识别等需求。</w:t>
            </w:r>
          </w:p>
        </w:tc>
        <w:tc>
          <w:tcPr>
            <w:tcW w:w="722" w:type="pct"/>
            <w:vAlign w:val="center"/>
          </w:tcPr>
          <w:p w14:paraId="4621B3FB">
            <w:pPr>
              <w:widowControl/>
              <w:snapToGrid w:val="0"/>
              <w:spacing w:line="360" w:lineRule="auto"/>
              <w:jc w:val="center"/>
              <w:textAlignment w:val="center"/>
              <w:rPr>
                <w:rFonts w:ascii="宋体" w:hAnsi="宋体"/>
                <w:color w:val="000000"/>
                <w:kern w:val="0"/>
                <w:sz w:val="24"/>
              </w:rPr>
            </w:pPr>
          </w:p>
        </w:tc>
      </w:tr>
      <w:tr w14:paraId="7E0C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4" w:type="pct"/>
            <w:vAlign w:val="center"/>
          </w:tcPr>
          <w:p w14:paraId="44CAE507">
            <w:pPr>
              <w:numPr>
                <w:ilvl w:val="0"/>
                <w:numId w:val="1"/>
              </w:numPr>
              <w:snapToGrid w:val="0"/>
              <w:spacing w:line="360" w:lineRule="auto"/>
              <w:jc w:val="center"/>
              <w:rPr>
                <w:rFonts w:ascii="宋体" w:hAnsi="宋体"/>
                <w:sz w:val="24"/>
              </w:rPr>
            </w:pPr>
          </w:p>
        </w:tc>
        <w:tc>
          <w:tcPr>
            <w:tcW w:w="778" w:type="pct"/>
            <w:vAlign w:val="center"/>
          </w:tcPr>
          <w:p w14:paraId="29CD8F8F">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智能手术编码服务系统</w:t>
            </w:r>
          </w:p>
        </w:tc>
        <w:tc>
          <w:tcPr>
            <w:tcW w:w="3234" w:type="pct"/>
            <w:vAlign w:val="center"/>
          </w:tcPr>
          <w:p w14:paraId="31955DCA">
            <w:pPr>
              <w:snapToGrid w:val="0"/>
              <w:spacing w:line="360" w:lineRule="auto"/>
              <w:jc w:val="center"/>
              <w:rPr>
                <w:rFonts w:ascii="宋体" w:hAnsi="宋体"/>
                <w:sz w:val="24"/>
              </w:rPr>
            </w:pPr>
            <w:r>
              <w:rPr>
                <w:rFonts w:hint="eastAsia" w:ascii="宋体" w:hAnsi="宋体"/>
                <w:sz w:val="24"/>
              </w:rPr>
              <w:t>主要满足为医生提供智能手术编码提示、智能手术自动编码、手术编码引导、手术编码映射等需求；</w:t>
            </w:r>
          </w:p>
        </w:tc>
        <w:tc>
          <w:tcPr>
            <w:tcW w:w="722" w:type="pct"/>
            <w:vAlign w:val="center"/>
          </w:tcPr>
          <w:p w14:paraId="12A97D75">
            <w:pPr>
              <w:widowControl/>
              <w:snapToGrid w:val="0"/>
              <w:spacing w:line="360" w:lineRule="auto"/>
              <w:jc w:val="center"/>
              <w:textAlignment w:val="center"/>
              <w:rPr>
                <w:rFonts w:ascii="宋体" w:hAnsi="宋体"/>
                <w:color w:val="000000"/>
                <w:kern w:val="0"/>
                <w:sz w:val="24"/>
              </w:rPr>
            </w:pPr>
          </w:p>
        </w:tc>
      </w:tr>
      <w:tr w14:paraId="76469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5FCDD282">
            <w:pPr>
              <w:numPr>
                <w:ilvl w:val="0"/>
                <w:numId w:val="1"/>
              </w:numPr>
              <w:snapToGrid w:val="0"/>
              <w:spacing w:line="360" w:lineRule="auto"/>
              <w:jc w:val="center"/>
              <w:rPr>
                <w:rFonts w:ascii="宋体" w:hAnsi="宋体"/>
                <w:sz w:val="24"/>
              </w:rPr>
            </w:pPr>
          </w:p>
        </w:tc>
        <w:tc>
          <w:tcPr>
            <w:tcW w:w="778" w:type="pct"/>
            <w:vAlign w:val="center"/>
          </w:tcPr>
          <w:p w14:paraId="5846E698">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智能导检系统</w:t>
            </w:r>
          </w:p>
        </w:tc>
        <w:tc>
          <w:tcPr>
            <w:tcW w:w="3234" w:type="pct"/>
            <w:vAlign w:val="center"/>
          </w:tcPr>
          <w:p w14:paraId="1D69EC25">
            <w:pPr>
              <w:snapToGrid w:val="0"/>
              <w:spacing w:line="360" w:lineRule="auto"/>
              <w:jc w:val="center"/>
              <w:rPr>
                <w:rFonts w:ascii="宋体" w:hAnsi="宋体"/>
                <w:sz w:val="24"/>
              </w:rPr>
            </w:pPr>
            <w:r>
              <w:rPr>
                <w:rFonts w:hint="eastAsia" w:ascii="宋体" w:hAnsi="宋体"/>
                <w:sz w:val="24"/>
              </w:rPr>
              <w:t>主要满足通过智能算法使体检队列全流程得以有理有序分流疏导的需求。</w:t>
            </w:r>
          </w:p>
        </w:tc>
        <w:tc>
          <w:tcPr>
            <w:tcW w:w="722" w:type="pct"/>
            <w:vAlign w:val="center"/>
          </w:tcPr>
          <w:p w14:paraId="5BBFC1C6">
            <w:pPr>
              <w:widowControl/>
              <w:snapToGrid w:val="0"/>
              <w:spacing w:line="360" w:lineRule="auto"/>
              <w:jc w:val="center"/>
              <w:textAlignment w:val="center"/>
              <w:rPr>
                <w:rFonts w:ascii="宋体" w:hAnsi="宋体"/>
                <w:color w:val="000000"/>
                <w:kern w:val="0"/>
                <w:sz w:val="24"/>
              </w:rPr>
            </w:pPr>
          </w:p>
        </w:tc>
      </w:tr>
      <w:tr w14:paraId="1FCB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1A5BE465">
            <w:pPr>
              <w:numPr>
                <w:ilvl w:val="0"/>
                <w:numId w:val="1"/>
              </w:numPr>
              <w:snapToGrid w:val="0"/>
              <w:spacing w:line="360" w:lineRule="auto"/>
              <w:jc w:val="center"/>
              <w:rPr>
                <w:rFonts w:ascii="宋体" w:hAnsi="宋体"/>
                <w:sz w:val="24"/>
              </w:rPr>
            </w:pPr>
          </w:p>
        </w:tc>
        <w:tc>
          <w:tcPr>
            <w:tcW w:w="778" w:type="pct"/>
            <w:vAlign w:val="center"/>
          </w:tcPr>
          <w:p w14:paraId="5E22A7FE">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电子病历应用分级自动评价平台</w:t>
            </w:r>
          </w:p>
        </w:tc>
        <w:tc>
          <w:tcPr>
            <w:tcW w:w="3234" w:type="pct"/>
            <w:vAlign w:val="center"/>
          </w:tcPr>
          <w:p w14:paraId="673A4CAD">
            <w:pPr>
              <w:snapToGrid w:val="0"/>
              <w:spacing w:line="360" w:lineRule="auto"/>
              <w:jc w:val="center"/>
              <w:rPr>
                <w:rFonts w:ascii="宋体" w:hAnsi="宋体"/>
                <w:sz w:val="24"/>
              </w:rPr>
            </w:pPr>
            <w:r>
              <w:rPr>
                <w:rFonts w:hint="eastAsia" w:ascii="宋体" w:hAnsi="宋体"/>
                <w:sz w:val="24"/>
              </w:rPr>
              <w:t>主要帮助医院便捷、高效的完成电子病历评级工作，帮助医院自动生成评级指导方案，自动开展模拟评级；向医院提供培训视频；智能回答评级相关问题，支持医院进行电子病历评级的模拟数据上报等工作。</w:t>
            </w:r>
          </w:p>
        </w:tc>
        <w:tc>
          <w:tcPr>
            <w:tcW w:w="722" w:type="pct"/>
            <w:vAlign w:val="center"/>
          </w:tcPr>
          <w:p w14:paraId="1A92C50A">
            <w:pPr>
              <w:widowControl/>
              <w:snapToGrid w:val="0"/>
              <w:spacing w:line="360" w:lineRule="auto"/>
              <w:jc w:val="center"/>
              <w:textAlignment w:val="center"/>
              <w:rPr>
                <w:rFonts w:ascii="宋体" w:hAnsi="宋体"/>
                <w:color w:val="000000"/>
                <w:kern w:val="0"/>
                <w:sz w:val="24"/>
              </w:rPr>
            </w:pPr>
          </w:p>
        </w:tc>
      </w:tr>
      <w:tr w14:paraId="6A12D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E982E7D">
            <w:pPr>
              <w:numPr>
                <w:ilvl w:val="0"/>
                <w:numId w:val="1"/>
              </w:numPr>
              <w:snapToGrid w:val="0"/>
              <w:spacing w:line="360" w:lineRule="auto"/>
              <w:jc w:val="center"/>
              <w:rPr>
                <w:rFonts w:ascii="宋体" w:hAnsi="宋体"/>
                <w:sz w:val="24"/>
              </w:rPr>
            </w:pPr>
          </w:p>
        </w:tc>
        <w:tc>
          <w:tcPr>
            <w:tcW w:w="778" w:type="pct"/>
            <w:vAlign w:val="center"/>
          </w:tcPr>
          <w:p w14:paraId="7C1B1776">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电子病历评级支持</w:t>
            </w:r>
          </w:p>
        </w:tc>
        <w:tc>
          <w:tcPr>
            <w:tcW w:w="3234" w:type="pct"/>
            <w:vAlign w:val="center"/>
          </w:tcPr>
          <w:p w14:paraId="3CF76BFF">
            <w:pPr>
              <w:snapToGrid w:val="0"/>
              <w:spacing w:line="360" w:lineRule="auto"/>
              <w:jc w:val="center"/>
              <w:rPr>
                <w:rFonts w:ascii="宋体" w:hAnsi="宋体"/>
                <w:sz w:val="24"/>
              </w:rPr>
            </w:pPr>
            <w:r>
              <w:rPr>
                <w:rFonts w:hint="eastAsia" w:ascii="宋体" w:hAnsi="宋体"/>
                <w:sz w:val="24"/>
              </w:rPr>
              <w:t>主要协助医院进行整体评级情况分析、提供指导，并制定医院电子病历评级方案；向医院提供评级培训服务，协助医院完成实证材料准备及应评准备工作。辅助医院制定实用审查迎评计划。帮助医院完成电子病历评级工作。</w:t>
            </w:r>
          </w:p>
        </w:tc>
        <w:tc>
          <w:tcPr>
            <w:tcW w:w="722" w:type="pct"/>
            <w:vAlign w:val="center"/>
          </w:tcPr>
          <w:p w14:paraId="78967E2A">
            <w:pPr>
              <w:widowControl/>
              <w:snapToGrid w:val="0"/>
              <w:spacing w:line="360" w:lineRule="auto"/>
              <w:jc w:val="center"/>
              <w:textAlignment w:val="center"/>
              <w:rPr>
                <w:rFonts w:ascii="宋体" w:hAnsi="宋体"/>
                <w:color w:val="000000"/>
                <w:kern w:val="0"/>
                <w:sz w:val="24"/>
              </w:rPr>
            </w:pPr>
          </w:p>
        </w:tc>
      </w:tr>
      <w:tr w14:paraId="2DFDF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6A2D09E3">
            <w:pPr>
              <w:numPr>
                <w:ilvl w:val="0"/>
                <w:numId w:val="1"/>
              </w:numPr>
              <w:snapToGrid w:val="0"/>
              <w:spacing w:line="360" w:lineRule="auto"/>
              <w:jc w:val="center"/>
              <w:rPr>
                <w:rFonts w:ascii="宋体" w:hAnsi="宋体"/>
                <w:sz w:val="24"/>
              </w:rPr>
            </w:pPr>
          </w:p>
        </w:tc>
        <w:tc>
          <w:tcPr>
            <w:tcW w:w="778" w:type="pct"/>
            <w:vAlign w:val="center"/>
          </w:tcPr>
          <w:p w14:paraId="11BA8B42">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互联互通评级支持</w:t>
            </w:r>
          </w:p>
        </w:tc>
        <w:tc>
          <w:tcPr>
            <w:tcW w:w="3234" w:type="pct"/>
            <w:vAlign w:val="center"/>
          </w:tcPr>
          <w:p w14:paraId="194D7605">
            <w:pPr>
              <w:snapToGrid w:val="0"/>
              <w:spacing w:line="360" w:lineRule="auto"/>
              <w:jc w:val="center"/>
              <w:rPr>
                <w:rFonts w:ascii="宋体" w:hAnsi="宋体"/>
                <w:sz w:val="24"/>
              </w:rPr>
            </w:pPr>
            <w:r>
              <w:rPr>
                <w:rFonts w:hint="eastAsia" w:ascii="宋体" w:hAnsi="宋体"/>
                <w:sz w:val="24"/>
              </w:rPr>
              <w:t>提供医院测评申报的指导服务；向医院提供产品对接调试服务、数据质量核查服务；安排人员进行测评现场支持服务，根据医院应用情况给出应用提升建议；协助医院完成现场查验准备工作，模拟演练，进行培训；帮助医院完成现场定量测评的数据质量的自测工作。辅助医院完成汇报材料的准备和编写；辅助医院进行实证材料的整改。</w:t>
            </w:r>
          </w:p>
        </w:tc>
        <w:tc>
          <w:tcPr>
            <w:tcW w:w="722" w:type="pct"/>
            <w:vAlign w:val="center"/>
          </w:tcPr>
          <w:p w14:paraId="4A337BF1">
            <w:pPr>
              <w:widowControl/>
              <w:snapToGrid w:val="0"/>
              <w:spacing w:line="360" w:lineRule="auto"/>
              <w:jc w:val="center"/>
              <w:textAlignment w:val="center"/>
              <w:rPr>
                <w:rFonts w:ascii="宋体" w:hAnsi="宋体"/>
                <w:color w:val="000000"/>
                <w:kern w:val="0"/>
                <w:sz w:val="24"/>
              </w:rPr>
            </w:pPr>
          </w:p>
        </w:tc>
      </w:tr>
      <w:tr w14:paraId="49D67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68ECF254">
            <w:pPr>
              <w:numPr>
                <w:ilvl w:val="0"/>
                <w:numId w:val="1"/>
              </w:numPr>
              <w:snapToGrid w:val="0"/>
              <w:spacing w:line="360" w:lineRule="auto"/>
              <w:jc w:val="center"/>
              <w:rPr>
                <w:rFonts w:ascii="宋体" w:hAnsi="宋体"/>
                <w:sz w:val="24"/>
              </w:rPr>
            </w:pPr>
          </w:p>
        </w:tc>
        <w:tc>
          <w:tcPr>
            <w:tcW w:w="778" w:type="pct"/>
            <w:vAlign w:val="center"/>
          </w:tcPr>
          <w:p w14:paraId="473BDB67">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医院等级评审</w:t>
            </w:r>
          </w:p>
        </w:tc>
        <w:tc>
          <w:tcPr>
            <w:tcW w:w="3234" w:type="pct"/>
            <w:vAlign w:val="center"/>
          </w:tcPr>
          <w:p w14:paraId="5B65F473">
            <w:pPr>
              <w:snapToGrid w:val="0"/>
              <w:spacing w:line="360" w:lineRule="auto"/>
              <w:jc w:val="center"/>
              <w:rPr>
                <w:rFonts w:ascii="宋体" w:hAnsi="宋体"/>
                <w:sz w:val="24"/>
              </w:rPr>
            </w:pPr>
            <w:r>
              <w:rPr>
                <w:rFonts w:hint="eastAsia" w:ascii="宋体" w:hAnsi="宋体"/>
                <w:sz w:val="24"/>
              </w:rPr>
              <w:t>帮助医院针对评审政策进行解读，并向医院提供培训服务，支撑医院等级评审迎评工作，向医院提供评审现场指导服务。协助医院完成评审数据申报，针对医院问题数据，帮助医院制定整改措施，建立流程闭环追踪机制地。</w:t>
            </w:r>
          </w:p>
        </w:tc>
        <w:tc>
          <w:tcPr>
            <w:tcW w:w="722" w:type="pct"/>
            <w:vAlign w:val="center"/>
          </w:tcPr>
          <w:p w14:paraId="0DCE264F">
            <w:pPr>
              <w:widowControl/>
              <w:snapToGrid w:val="0"/>
              <w:spacing w:line="360" w:lineRule="auto"/>
              <w:jc w:val="center"/>
              <w:textAlignment w:val="center"/>
              <w:rPr>
                <w:rFonts w:ascii="宋体" w:hAnsi="宋体"/>
                <w:color w:val="000000"/>
                <w:kern w:val="0"/>
                <w:sz w:val="24"/>
              </w:rPr>
            </w:pPr>
          </w:p>
        </w:tc>
      </w:tr>
      <w:tr w14:paraId="611DD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36AE9B75">
            <w:pPr>
              <w:numPr>
                <w:ilvl w:val="0"/>
                <w:numId w:val="1"/>
              </w:numPr>
              <w:snapToGrid w:val="0"/>
              <w:spacing w:line="360" w:lineRule="auto"/>
              <w:jc w:val="center"/>
              <w:rPr>
                <w:rFonts w:ascii="宋体" w:hAnsi="宋体"/>
                <w:sz w:val="24"/>
              </w:rPr>
            </w:pPr>
          </w:p>
        </w:tc>
        <w:tc>
          <w:tcPr>
            <w:tcW w:w="778" w:type="pct"/>
            <w:vAlign w:val="center"/>
          </w:tcPr>
          <w:p w14:paraId="3CE4DA82">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智慧管理评级</w:t>
            </w:r>
          </w:p>
        </w:tc>
        <w:tc>
          <w:tcPr>
            <w:tcW w:w="3234" w:type="pct"/>
            <w:vAlign w:val="center"/>
          </w:tcPr>
          <w:p w14:paraId="59592C6E">
            <w:pPr>
              <w:widowControl/>
              <w:snapToGrid w:val="0"/>
              <w:spacing w:line="360" w:lineRule="auto"/>
              <w:jc w:val="center"/>
              <w:textAlignment w:val="center"/>
              <w:rPr>
                <w:rFonts w:ascii="宋体" w:hAnsi="宋体"/>
                <w:sz w:val="24"/>
              </w:rPr>
            </w:pPr>
            <w:r>
              <w:rPr>
                <w:rFonts w:hint="eastAsia" w:ascii="宋体" w:hAnsi="宋体"/>
                <w:sz w:val="24"/>
              </w:rPr>
              <w:t>协助医院进行整体评级情况分析、提供指导，并制定医院智慧管理评级方案；向医院提供智慧管理评级培训服务，协助医院完成实证材料准备及应评准备工作。辅助医院制定实用审查迎评计划。帮助医院完成智慧管理评级工作。</w:t>
            </w:r>
          </w:p>
        </w:tc>
        <w:tc>
          <w:tcPr>
            <w:tcW w:w="722" w:type="pct"/>
            <w:vAlign w:val="center"/>
          </w:tcPr>
          <w:p w14:paraId="37F351B7">
            <w:pPr>
              <w:widowControl/>
              <w:snapToGrid w:val="0"/>
              <w:spacing w:line="360" w:lineRule="auto"/>
              <w:jc w:val="center"/>
              <w:textAlignment w:val="center"/>
              <w:rPr>
                <w:rFonts w:ascii="宋体" w:hAnsi="宋体"/>
                <w:color w:val="000000"/>
                <w:kern w:val="0"/>
                <w:sz w:val="24"/>
              </w:rPr>
            </w:pPr>
          </w:p>
        </w:tc>
      </w:tr>
      <w:tr w14:paraId="21E9A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4" w:type="pct"/>
            <w:vAlign w:val="center"/>
          </w:tcPr>
          <w:p w14:paraId="0AB4DA3B">
            <w:pPr>
              <w:numPr>
                <w:ilvl w:val="0"/>
                <w:numId w:val="1"/>
              </w:numPr>
              <w:snapToGrid w:val="0"/>
              <w:spacing w:line="360" w:lineRule="auto"/>
              <w:jc w:val="center"/>
              <w:rPr>
                <w:rFonts w:ascii="宋体" w:hAnsi="宋体"/>
                <w:sz w:val="24"/>
              </w:rPr>
            </w:pPr>
          </w:p>
        </w:tc>
        <w:tc>
          <w:tcPr>
            <w:tcW w:w="778" w:type="pct"/>
            <w:vAlign w:val="center"/>
          </w:tcPr>
          <w:p w14:paraId="0C31F7A4">
            <w:pPr>
              <w:widowControl/>
              <w:snapToGrid w:val="0"/>
              <w:spacing w:line="360" w:lineRule="auto"/>
              <w:jc w:val="center"/>
              <w:textAlignment w:val="center"/>
              <w:rPr>
                <w:rFonts w:ascii="宋体" w:hAnsi="宋体"/>
                <w:color w:val="000000"/>
                <w:kern w:val="0"/>
                <w:sz w:val="24"/>
              </w:rPr>
            </w:pPr>
            <w:r>
              <w:rPr>
                <w:rFonts w:hint="eastAsia" w:ascii="宋体" w:hAnsi="宋体"/>
                <w:color w:val="000000"/>
                <w:kern w:val="0"/>
                <w:sz w:val="24"/>
              </w:rPr>
              <w:t>智慧服务评级</w:t>
            </w:r>
          </w:p>
        </w:tc>
        <w:tc>
          <w:tcPr>
            <w:tcW w:w="3234" w:type="pct"/>
            <w:vAlign w:val="center"/>
          </w:tcPr>
          <w:p w14:paraId="10D57961">
            <w:pPr>
              <w:snapToGrid w:val="0"/>
              <w:spacing w:line="360" w:lineRule="auto"/>
              <w:jc w:val="center"/>
              <w:rPr>
                <w:rFonts w:ascii="宋体" w:hAnsi="宋体"/>
                <w:sz w:val="24"/>
              </w:rPr>
            </w:pPr>
            <w:r>
              <w:rPr>
                <w:rFonts w:hint="eastAsia" w:ascii="宋体" w:hAnsi="宋体"/>
                <w:sz w:val="24"/>
              </w:rPr>
              <w:t>协助医院进行整体评级情况分析、提供指导，并制定医院智慧服务评级方案；向医院提供智慧服务评级培训服务，协助医院完成实证材料准备及应评准备工作。辅助医院制定实用审查迎评计划。帮助医院完成智慧服务评级工作。</w:t>
            </w:r>
          </w:p>
        </w:tc>
        <w:tc>
          <w:tcPr>
            <w:tcW w:w="722" w:type="pct"/>
            <w:vAlign w:val="center"/>
          </w:tcPr>
          <w:p w14:paraId="0A112817">
            <w:pPr>
              <w:widowControl/>
              <w:snapToGrid w:val="0"/>
              <w:spacing w:line="360" w:lineRule="auto"/>
              <w:jc w:val="center"/>
              <w:textAlignment w:val="center"/>
              <w:rPr>
                <w:rFonts w:ascii="宋体" w:hAnsi="宋体"/>
                <w:color w:val="000000"/>
                <w:kern w:val="0"/>
                <w:sz w:val="24"/>
              </w:rPr>
            </w:pPr>
          </w:p>
        </w:tc>
      </w:tr>
    </w:tbl>
    <w:p w14:paraId="2FF5EE6A">
      <w:pPr>
        <w:spacing w:line="360" w:lineRule="auto"/>
        <w:rPr>
          <w:rFonts w:ascii="宋体" w:hAnsi="宋体"/>
          <w:sz w:val="24"/>
        </w:rPr>
      </w:pPr>
    </w:p>
    <w:p w14:paraId="36054CD9">
      <w:pPr>
        <w:spacing w:line="360" w:lineRule="auto"/>
        <w:rPr>
          <w:rFonts w:ascii="宋体" w:hAnsi="宋体"/>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7A2890">
    <w:pPr>
      <w:pStyle w:val="6"/>
    </w:pPr>
    <w:r>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HWQShfbAQAAtwMAAA4AAABkcnMvZTJvRG9jLnhtbK1TzY7TMBC+I/EO&#10;lu80aYWgRE1XSNUiJAQrLfsAruM0lvynGbdJeQB4A05cuPNcfQ7GTtqF3cse9pLMjMffzPfNeHU1&#10;WMMOClB7V/P5rORMOekb7XY1v/t6/WrJGUbhGmG8UzU/KuRX65cvVn2o1MJ33jQKGIE4rPpQ8y7G&#10;UBUFyk5ZgTMflKPD1oMVkVzYFQ2IntCtKRZl+aboPTQBvFSIFN2Mh3xChKcA+rbVUm283Fvl4ogK&#10;yohIlLDTAfk6d9u2SsYvbYsqMlNzYhrzl4qQvU3fYr0S1Q5E6LScWhBPaeEBJyu0o6IXqI2Igu1B&#10;P4KyWoJH38aZ9LYYiWRFiMW8fKDNbSeCylxIagwX0fH5YOXnww0w3dT8dfnuLWdOWJr56eeP068/&#10;p9/f2Twp1AesKPE23MDkIZmJ7tCCTX8iwoas6vGiqhoikxScLxfLZUmCSzo7O4RT3F8PgPGD8pYl&#10;o+ZAY8tqisMnjGPqOSVVc/5aG0NxURn3X4Awx4jKs59up/7HjpMVh+0w0dj65kj06TVQ1c7DN856&#10;2oWaO1p9zsxHR1KntTkbcDa2Z0M4SRdrHjnbB9C7Lq9YagrD+32kTjOBVHisRsSTQ/PMEky7lxbm&#10;Xz9n3b+39V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C5dblS0AAAAAUBAAAPAAAAAAAAAAEAIAAA&#10;ACIAAABkcnMvZG93bnJldi54bWxQSwECFAAUAAAACACHTuJAdZBKF9sBAAC3AwAADgAAAAAAAAAB&#10;ACAAAAAfAQAAZHJzL2Uyb0RvYy54bWxQSwUGAAAAAAYABgBZAQAAbAUAAAAA&#10;">
          <v:path/>
          <v:fill on="f" focussize="0,0"/>
          <v:stroke on="f"/>
          <v:imagedata o:title=""/>
          <o:lock v:ext="edit"/>
          <v:textbox inset="0mm,0mm,0mm,0mm" style="mso-fit-shape-to-text:t;">
            <w:txbxContent>
              <w:p w14:paraId="22C401B1">
                <w:pPr>
                  <w:pStyle w:val="6"/>
                </w:pPr>
                <w:r>
                  <w:fldChar w:fldCharType="begin"/>
                </w:r>
                <w:r>
                  <w:instrText xml:space="preserve"> PAGE  \* MERGEFORMAT </w:instrText>
                </w:r>
                <w:r>
                  <w:fldChar w:fldCharType="separate"/>
                </w:r>
                <w:r>
                  <w:t>2</w:t>
                </w:r>
                <w: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C83EF1"/>
    <w:rsid w:val="001A0A2D"/>
    <w:rsid w:val="0033522C"/>
    <w:rsid w:val="00363C55"/>
    <w:rsid w:val="00575535"/>
    <w:rsid w:val="00636B90"/>
    <w:rsid w:val="00790A75"/>
    <w:rsid w:val="007D28DB"/>
    <w:rsid w:val="008671A8"/>
    <w:rsid w:val="00A1052C"/>
    <w:rsid w:val="00AA4B73"/>
    <w:rsid w:val="00C83EF1"/>
    <w:rsid w:val="00DE675C"/>
    <w:rsid w:val="00DF0008"/>
    <w:rsid w:val="00E94453"/>
    <w:rsid w:val="16E04C9A"/>
    <w:rsid w:val="31F14AF0"/>
    <w:rsid w:val="33AD0A84"/>
    <w:rsid w:val="50510B3C"/>
    <w:rsid w:val="60662235"/>
    <w:rsid w:val="73A339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qFormat/>
    <w:uiPriority w:val="0"/>
    <w:pPr>
      <w:keepNext/>
      <w:keepLines/>
      <w:spacing w:line="576" w:lineRule="auto"/>
      <w:outlineLvl w:val="0"/>
    </w:pPr>
    <w:rPr>
      <w:b/>
      <w:kern w:val="44"/>
      <w:sz w:val="44"/>
    </w:rPr>
  </w:style>
  <w:style w:type="paragraph" w:styleId="3">
    <w:name w:val="heading 2"/>
    <w:basedOn w:val="1"/>
    <w:next w:val="1"/>
    <w:qFormat/>
    <w:uiPriority w:val="0"/>
    <w:pPr>
      <w:keepNext/>
      <w:keepLines/>
      <w:spacing w:line="413" w:lineRule="auto"/>
      <w:outlineLvl w:val="1"/>
    </w:pPr>
    <w:rPr>
      <w:rFonts w:ascii="Arial" w:hAnsi="Arial" w:eastAsia="黑体"/>
      <w:b/>
      <w:sz w:val="32"/>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qFormat/>
    <w:uiPriority w:val="99"/>
    <w:pPr>
      <w:spacing w:after="120"/>
    </w:pPr>
    <w:rPr>
      <w:rFonts w:ascii="Times New Roman" w:hAnsi="Times New Roman" w:cs="Times New Roman"/>
      <w:sz w:val="24"/>
    </w:rPr>
  </w:style>
  <w:style w:type="paragraph" w:styleId="5">
    <w:name w:val="Body Text Indent"/>
    <w:basedOn w:val="1"/>
    <w:qFormat/>
    <w:uiPriority w:val="99"/>
    <w:pPr>
      <w:ind w:left="420" w:leftChars="2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Body Text First Indent 2"/>
    <w:basedOn w:val="5"/>
    <w:qFormat/>
    <w:uiPriority w:val="0"/>
    <w:pPr>
      <w:spacing w:after="120"/>
      <w:ind w:firstLine="420"/>
    </w:pPr>
    <w:rPr>
      <w:rFonts w:ascii="Times New Roman" w:hAnsi="Times New Roman" w:cs="Times New Roman"/>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3531</Words>
  <Characters>3551</Characters>
  <Lines>39</Lines>
  <Paragraphs>10</Paragraphs>
  <TotalTime>0</TotalTime>
  <ScaleCrop>false</ScaleCrop>
  <LinksUpToDate>false</LinksUpToDate>
  <CharactersWithSpaces>3551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2025-11-20T18:23:00Z</dcterms:created>
  <dc:creator>昔杨今雨</dc:creator>
  <cp:lastModifiedBy>Administrator</cp:lastModifiedBy>
  <dcterms:modified xsi:type="dcterms:W3CDTF">2026-01-29T09:19:56Z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6715551BB225446DBAA9CB13F893D0C7_13</vt:lpwstr>
  </property>
  <property fmtid="{D5CDD505-2E9C-101B-9397-08002B2CF9AE}" pid="4" name="KSOTemplateDocerSaveRecord">
    <vt:lpwstr>eyJoZGlkIjoiMWY5YThlYzM4MDNlYzc3ODg3N2MzNDM4ZDkwNDU2ZTkiLCJ1c2VySWQiOiIxMDA3MTcwMTQyIn0=</vt:lpwstr>
  </property>
</Properties>
</file>