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C2E58E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附件1</w:t>
      </w:r>
    </w:p>
    <w:p w14:paraId="00CDFD4A"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信息系统综合运维保障服务需求</w:t>
      </w:r>
    </w:p>
    <w:p w14:paraId="16E22E6A">
      <w:pPr>
        <w:pStyle w:val="3"/>
        <w:spacing w:line="360" w:lineRule="auto"/>
        <w:rPr>
          <w:rFonts w:ascii="仿宋_GB2312" w:hAnsi="Calibri" w:eastAsia="仿宋_GB2312"/>
          <w:b w:val="0"/>
          <w:szCs w:val="32"/>
        </w:rPr>
      </w:pPr>
      <w:r>
        <w:rPr>
          <w:rFonts w:hint="eastAsia" w:ascii="仿宋_GB2312" w:hAnsi="Calibri" w:eastAsia="仿宋_GB2312"/>
          <w:b w:val="0"/>
          <w:szCs w:val="32"/>
          <w:lang w:val="en-US" w:eastAsia="zh-CN"/>
        </w:rPr>
        <w:t>一</w:t>
      </w:r>
      <w:r>
        <w:rPr>
          <w:rFonts w:hint="eastAsia" w:ascii="仿宋_GB2312" w:hAnsi="Calibri" w:eastAsia="仿宋_GB2312"/>
          <w:b w:val="0"/>
          <w:szCs w:val="32"/>
        </w:rPr>
        <w:t>、</w:t>
      </w:r>
      <w:bookmarkStart w:id="0" w:name="_GoBack"/>
      <w:r>
        <w:rPr>
          <w:rFonts w:hint="eastAsia" w:ascii="仿宋_GB2312" w:hAnsi="Calibri" w:eastAsia="仿宋_GB2312"/>
          <w:b w:val="0"/>
          <w:szCs w:val="32"/>
        </w:rPr>
        <w:t>系统对接服务</w:t>
      </w:r>
      <w:bookmarkEnd w:id="0"/>
    </w:p>
    <w:p w14:paraId="743E8C0E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提供医院服务期内全部</w:t>
      </w:r>
      <w:r>
        <w:rPr>
          <w:rFonts w:ascii="宋体" w:hAnsi="宋体"/>
          <w:sz w:val="24"/>
        </w:rPr>
        <w:t>新购置设备、新增业务平台</w:t>
      </w:r>
      <w:r>
        <w:rPr>
          <w:rFonts w:hint="eastAsia" w:ascii="宋体" w:hAnsi="宋体"/>
          <w:sz w:val="24"/>
        </w:rPr>
        <w:t>、新增软件、各类上报平台</w:t>
      </w:r>
      <w:r>
        <w:rPr>
          <w:rFonts w:ascii="宋体" w:hAnsi="宋体"/>
          <w:sz w:val="24"/>
        </w:rPr>
        <w:t>与现有信息化系统无缝衔接，实现数据实时互通、信息共享</w:t>
      </w:r>
      <w:r>
        <w:rPr>
          <w:rFonts w:hint="eastAsia" w:ascii="宋体" w:hAnsi="宋体"/>
          <w:sz w:val="24"/>
        </w:rPr>
        <w:t>。</w:t>
      </w:r>
    </w:p>
    <w:p w14:paraId="67400DF2">
      <w:pPr>
        <w:pStyle w:val="3"/>
        <w:spacing w:line="360" w:lineRule="auto"/>
        <w:rPr>
          <w:rFonts w:ascii="仿宋_GB2312" w:hAnsi="Calibri" w:eastAsia="仿宋_GB2312"/>
          <w:b w:val="0"/>
          <w:szCs w:val="32"/>
        </w:rPr>
      </w:pPr>
      <w:r>
        <w:rPr>
          <w:rFonts w:hint="eastAsia" w:ascii="仿宋_GB2312" w:hAnsi="Calibri" w:eastAsia="仿宋_GB2312"/>
          <w:b w:val="0"/>
          <w:szCs w:val="32"/>
          <w:lang w:val="en-US" w:eastAsia="zh-CN"/>
        </w:rPr>
        <w:t>二</w:t>
      </w:r>
      <w:r>
        <w:rPr>
          <w:rFonts w:hint="eastAsia" w:ascii="仿宋_GB2312" w:hAnsi="Calibri" w:eastAsia="仿宋_GB2312"/>
          <w:b w:val="0"/>
          <w:szCs w:val="32"/>
        </w:rPr>
        <w:t>、驻场运维服务</w:t>
      </w:r>
    </w:p>
    <w:p w14:paraId="76033E7A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为保障</w:t>
      </w:r>
      <w:r>
        <w:rPr>
          <w:rFonts w:hint="eastAsia" w:ascii="宋体" w:hAnsi="宋体"/>
          <w:sz w:val="24"/>
          <w:lang w:val="en-US" w:eastAsia="zh-CN"/>
        </w:rPr>
        <w:t>医</w:t>
      </w:r>
      <w:r>
        <w:rPr>
          <w:rFonts w:hint="eastAsia" w:ascii="宋体" w:hAnsi="宋体"/>
          <w:sz w:val="24"/>
        </w:rPr>
        <w:t>院工作顺畅开展、提升医院运营管理效率，切实满足院内各科室对软件系统稳定、安全、高效运行的核心需求，精准匹配医院日常运营与长期发展的实际诉求，需为</w:t>
      </w:r>
      <w:r>
        <w:rPr>
          <w:rFonts w:hint="eastAsia" w:ascii="宋体" w:hAnsi="宋体"/>
          <w:sz w:val="24"/>
          <w:lang w:val="en-US" w:eastAsia="zh-CN"/>
        </w:rPr>
        <w:t>医</w:t>
      </w:r>
      <w:r>
        <w:rPr>
          <w:rFonts w:hint="eastAsia" w:ascii="宋体" w:hAnsi="宋体"/>
          <w:sz w:val="24"/>
        </w:rPr>
        <w:t>院提供如下运维服务：版本升级、日常运维、培训、迁移服务、数据备份恢复、提供驻场现技术员。</w:t>
      </w:r>
    </w:p>
    <w:p w14:paraId="0A58A68F">
      <w:pPr>
        <w:pStyle w:val="3"/>
        <w:spacing w:line="360" w:lineRule="auto"/>
        <w:rPr>
          <w:rFonts w:ascii="仿宋_GB2312" w:hAnsi="Calibri" w:eastAsia="仿宋_GB2312"/>
          <w:b w:val="0"/>
          <w:szCs w:val="32"/>
        </w:rPr>
      </w:pPr>
      <w:r>
        <w:rPr>
          <w:rFonts w:hint="eastAsia" w:ascii="仿宋_GB2312" w:hAnsi="Calibri" w:eastAsia="仿宋_GB2312"/>
          <w:b w:val="0"/>
          <w:szCs w:val="32"/>
          <w:lang w:val="en-US" w:eastAsia="zh-CN"/>
        </w:rPr>
        <w:t>三</w:t>
      </w:r>
      <w:r>
        <w:rPr>
          <w:rFonts w:hint="eastAsia" w:ascii="仿宋_GB2312" w:hAnsi="Calibri" w:eastAsia="仿宋_GB2312"/>
          <w:b w:val="0"/>
          <w:szCs w:val="32"/>
        </w:rPr>
        <w:t>、云资源服务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029"/>
        <w:gridCol w:w="5752"/>
        <w:gridCol w:w="1093"/>
      </w:tblGrid>
      <w:tr w14:paraId="1E48B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center"/>
          </w:tcPr>
          <w:p w14:paraId="4943E6E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029" w:type="dxa"/>
            <w:vAlign w:val="center"/>
          </w:tcPr>
          <w:p w14:paraId="16731E5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分类</w:t>
            </w:r>
          </w:p>
        </w:tc>
        <w:tc>
          <w:tcPr>
            <w:tcW w:w="5752" w:type="dxa"/>
            <w:vAlign w:val="center"/>
          </w:tcPr>
          <w:p w14:paraId="3B74A27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需求说明</w:t>
            </w:r>
          </w:p>
        </w:tc>
        <w:tc>
          <w:tcPr>
            <w:tcW w:w="1093" w:type="dxa"/>
            <w:vAlign w:val="center"/>
          </w:tcPr>
          <w:p w14:paraId="53F429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详细</w:t>
            </w:r>
          </w:p>
        </w:tc>
      </w:tr>
      <w:tr w14:paraId="74804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Align w:val="center"/>
          </w:tcPr>
          <w:p w14:paraId="04BBB732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9" w:type="dxa"/>
            <w:vAlign w:val="center"/>
          </w:tcPr>
          <w:p w14:paraId="6A8A977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基础服务</w:t>
            </w:r>
          </w:p>
        </w:tc>
        <w:tc>
          <w:tcPr>
            <w:tcW w:w="5752" w:type="dxa"/>
            <w:vAlign w:val="center"/>
          </w:tcPr>
          <w:p w14:paraId="1392C8BE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应提供业务系统所需的整体计算能力和业务承载能力保障。</w:t>
            </w:r>
          </w:p>
        </w:tc>
        <w:tc>
          <w:tcPr>
            <w:tcW w:w="1093" w:type="dxa"/>
          </w:tcPr>
          <w:p w14:paraId="3E896D6F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09669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center"/>
          </w:tcPr>
          <w:p w14:paraId="712ACA5E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9" w:type="dxa"/>
            <w:vAlign w:val="center"/>
          </w:tcPr>
          <w:p w14:paraId="5EDE7AA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中间件部署和稳定运维服务</w:t>
            </w:r>
          </w:p>
        </w:tc>
        <w:tc>
          <w:tcPr>
            <w:tcW w:w="5752" w:type="dxa"/>
            <w:vAlign w:val="center"/>
          </w:tcPr>
          <w:p w14:paraId="76BD37A4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云平台需为业务系统提供稳定的中间件支持：一是保障消息队列服务稳定，确保系统间数据传输不丢失、不卡顿；二是提供高速缓存存储能力，提升病历、影像等常用数据的调取速度；三是支持大数据量写入存储，满足历史病历、影像数据的长期存储需求；四是具备大数据量日志的搜索引擎能力，方便快速查询系统运行日志，助力故障排查与问题分析。</w:t>
            </w:r>
          </w:p>
        </w:tc>
        <w:tc>
          <w:tcPr>
            <w:tcW w:w="1093" w:type="dxa"/>
          </w:tcPr>
          <w:p w14:paraId="20D274E5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4B0E3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center"/>
          </w:tcPr>
          <w:p w14:paraId="5C00BDDC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9" w:type="dxa"/>
            <w:vMerge w:val="restart"/>
            <w:vAlign w:val="center"/>
          </w:tcPr>
          <w:p w14:paraId="3986E25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云端安全服务</w:t>
            </w:r>
          </w:p>
        </w:tc>
        <w:tc>
          <w:tcPr>
            <w:tcW w:w="5752" w:type="dxa"/>
            <w:vAlign w:val="center"/>
          </w:tcPr>
          <w:p w14:paraId="071F12F4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需为我院云上的服务器、容器、数据库等资源，搭建独立私密的虚拟网络空间，避免与外部非授权网络直接连通。同时，该虚拟网络需支持灵活管理，设置安全访问规则、管理数据传输路径，按需申请可灵活调整的公网IP与带宽。此外，需通过多线路备份、分布式网关集群、多区域部署等技术，确保网络不中断——即便某条线路或某个区域出问题，也能快速切换，不影响核心业务。</w:t>
            </w:r>
          </w:p>
        </w:tc>
        <w:tc>
          <w:tcPr>
            <w:tcW w:w="1093" w:type="dxa"/>
          </w:tcPr>
          <w:p w14:paraId="498F5CE6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01A84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center"/>
          </w:tcPr>
          <w:p w14:paraId="3DBC838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9" w:type="dxa"/>
            <w:vMerge w:val="continue"/>
            <w:vAlign w:val="center"/>
          </w:tcPr>
          <w:p w14:paraId="43845CC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52" w:type="dxa"/>
            <w:vAlign w:val="center"/>
          </w:tcPr>
          <w:p w14:paraId="6C00A931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需支持按业务信任度给云上资源分组。资源加入对应安全组后，自动受规则保护，防止无关访问。</w:t>
            </w:r>
          </w:p>
        </w:tc>
        <w:tc>
          <w:tcPr>
            <w:tcW w:w="1093" w:type="dxa"/>
          </w:tcPr>
          <w:p w14:paraId="159629AF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5A2E6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center"/>
          </w:tcPr>
          <w:p w14:paraId="7B76E4D1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9" w:type="dxa"/>
            <w:vMerge w:val="continue"/>
            <w:vAlign w:val="center"/>
          </w:tcPr>
          <w:p w14:paraId="567870E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52" w:type="dxa"/>
            <w:vAlign w:val="center"/>
          </w:tcPr>
          <w:p w14:paraId="32520F76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需为我院互联网服务配置WAF防火墙：一是全面检测网页访问请求，挡住注入恶意代码、上传木马、暴力攻击、恶意爬取患者数据等行为；二是对行业新出现的高危漏洞，能快速分析并添加防护规则，过程中不影响医护、患者使用系统；三是支持按地理位置限制访问，同时提供简单易懂的操作界面，便于实时查看攻击记录。</w:t>
            </w:r>
          </w:p>
        </w:tc>
        <w:tc>
          <w:tcPr>
            <w:tcW w:w="1093" w:type="dxa"/>
          </w:tcPr>
          <w:p w14:paraId="2225AB7B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6866D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center"/>
          </w:tcPr>
          <w:p w14:paraId="1375C495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9" w:type="dxa"/>
            <w:vMerge w:val="continue"/>
            <w:vAlign w:val="center"/>
          </w:tcPr>
          <w:p w14:paraId="5DF0998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52" w:type="dxa"/>
            <w:vAlign w:val="center"/>
          </w:tcPr>
          <w:p w14:paraId="0FDF473F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需配置高防能力，应对大流量攻击导致系统瘫痪的风险：要求能在毫秒级内识别攻击，通过智能分析动调整防御策略，精准拦截复杂攻击；即便遭遇超大流量攻击，也要保障核心业务不中断，避免影响患者就医。</w:t>
            </w:r>
          </w:p>
        </w:tc>
        <w:tc>
          <w:tcPr>
            <w:tcW w:w="1093" w:type="dxa"/>
          </w:tcPr>
          <w:p w14:paraId="64411414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25F4C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center"/>
          </w:tcPr>
          <w:p w14:paraId="3D93BE3E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9" w:type="dxa"/>
            <w:vMerge w:val="continue"/>
            <w:vAlign w:val="center"/>
          </w:tcPr>
          <w:p w14:paraId="300CF70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52" w:type="dxa"/>
            <w:vAlign w:val="center"/>
          </w:tcPr>
          <w:p w14:paraId="2F9C790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需提升云上服务器的整体安全性：一是能管理服务器资产、检测系统/软件漏洞，提前排查风险；二是检查医护人员系统账号的密码复杂度，并给出修改建议；三是实时监测服务器运行的程序，识别并提醒木马、病毒、后门程序等，防止服务器被非法控制。</w:t>
            </w:r>
          </w:p>
        </w:tc>
        <w:tc>
          <w:tcPr>
            <w:tcW w:w="1093" w:type="dxa"/>
          </w:tcPr>
          <w:p w14:paraId="51A59252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1547F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center"/>
          </w:tcPr>
          <w:p w14:paraId="018F6223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9" w:type="dxa"/>
            <w:vMerge w:val="continue"/>
            <w:vAlign w:val="center"/>
          </w:tcPr>
          <w:p w14:paraId="306BE36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52" w:type="dxa"/>
            <w:vAlign w:val="center"/>
          </w:tcPr>
          <w:p w14:paraId="07619B5A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需搭建统一的运维管理入口：所有操作云上资源的行为，都需通过堡垒机进入，同时记录相关信息；支持实时监控运维行为，所有操作日志长期留存。</w:t>
            </w:r>
          </w:p>
        </w:tc>
        <w:tc>
          <w:tcPr>
            <w:tcW w:w="1093" w:type="dxa"/>
          </w:tcPr>
          <w:p w14:paraId="1FD387B6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0985A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center"/>
          </w:tcPr>
          <w:p w14:paraId="67C3D83D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9" w:type="dxa"/>
            <w:vMerge w:val="continue"/>
            <w:vAlign w:val="center"/>
          </w:tcPr>
          <w:p w14:paraId="4CE84CE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52" w:type="dxa"/>
            <w:vAlign w:val="center"/>
          </w:tcPr>
          <w:p w14:paraId="3DD6EA72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需对核心数据库进行专项保护：一是审计所有数据库操作；二是通过智能分析识别风险行为，并实时告警；三是支持旁路审计，不影响数据库正常运行，一旦发现违规操作，能精准定位责任人，保障数据符合《数据安全法》《医疗数据安全指南》要求。</w:t>
            </w:r>
          </w:p>
        </w:tc>
        <w:tc>
          <w:tcPr>
            <w:tcW w:w="1093" w:type="dxa"/>
          </w:tcPr>
          <w:p w14:paraId="2860CC6F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15C8C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center"/>
          </w:tcPr>
          <w:p w14:paraId="09458581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9" w:type="dxa"/>
            <w:vMerge w:val="continue"/>
            <w:vAlign w:val="center"/>
          </w:tcPr>
          <w:p w14:paraId="4840243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52" w:type="dxa"/>
            <w:vAlign w:val="center"/>
          </w:tcPr>
          <w:p w14:paraId="777D4BA7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需搭建统一安全监控平台，能检测多类云上安全风险；通过大数据分析，将分散的攻击事件、告警信息汇总，生成全院云安全整体情况报告，便于直观掌握安全风险，及时针对性处置。</w:t>
            </w:r>
          </w:p>
        </w:tc>
        <w:tc>
          <w:tcPr>
            <w:tcW w:w="1093" w:type="dxa"/>
          </w:tcPr>
          <w:p w14:paraId="0C9FF51C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43F72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center"/>
          </w:tcPr>
          <w:p w14:paraId="7175632E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9" w:type="dxa"/>
            <w:vMerge w:val="continue"/>
            <w:vAlign w:val="center"/>
          </w:tcPr>
          <w:p w14:paraId="4DE015A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52" w:type="dxa"/>
            <w:vAlign w:val="center"/>
          </w:tcPr>
          <w:p w14:paraId="76031047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需完整收集所有云上资源的操作记录，支持长期存储、便捷查询；记录可用于合规检查、问题定位，且需对记录文件加密，防止被篡改。</w:t>
            </w:r>
          </w:p>
        </w:tc>
        <w:tc>
          <w:tcPr>
            <w:tcW w:w="1093" w:type="dxa"/>
          </w:tcPr>
          <w:p w14:paraId="6E52F67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27688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center"/>
          </w:tcPr>
          <w:p w14:paraId="434AAA4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9" w:type="dxa"/>
            <w:vMerge w:val="continue"/>
            <w:vAlign w:val="center"/>
          </w:tcPr>
          <w:p w14:paraId="1C0ADC0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52" w:type="dxa"/>
            <w:vAlign w:val="center"/>
          </w:tcPr>
          <w:p w14:paraId="79EA2C81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需对云上服务器、带宽、存储等资源进行实时监控，一旦出现资源不足、异常波动等情况，立即发送告警，便于及时调整资源，保障业务顺畅。</w:t>
            </w:r>
          </w:p>
        </w:tc>
        <w:tc>
          <w:tcPr>
            <w:tcW w:w="1093" w:type="dxa"/>
          </w:tcPr>
          <w:p w14:paraId="3553EFE1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24796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center"/>
          </w:tcPr>
          <w:p w14:paraId="3AF19215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9" w:type="dxa"/>
            <w:vMerge w:val="continue"/>
            <w:vAlign w:val="center"/>
          </w:tcPr>
          <w:p w14:paraId="5CE2630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52" w:type="dxa"/>
            <w:vAlign w:val="center"/>
          </w:tcPr>
          <w:p w14:paraId="02308764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需支持收集全院云上系统的运行日志，能实时查询、长期存储；通过分析日志，可实现故障排查、业务分析、运维优化，最大化保障系统可用率。</w:t>
            </w:r>
          </w:p>
        </w:tc>
        <w:tc>
          <w:tcPr>
            <w:tcW w:w="1093" w:type="dxa"/>
          </w:tcPr>
          <w:p w14:paraId="498F553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14:paraId="5BE5A5E0">
      <w:pPr>
        <w:spacing w:line="360" w:lineRule="auto"/>
        <w:rPr>
          <w:rFonts w:ascii="宋体" w:hAnsi="宋体"/>
          <w:sz w:val="24"/>
        </w:rPr>
      </w:pPr>
    </w:p>
    <w:p w14:paraId="4C45EA2D">
      <w:pPr>
        <w:pStyle w:val="3"/>
        <w:spacing w:line="360" w:lineRule="auto"/>
        <w:rPr>
          <w:rFonts w:ascii="仿宋_GB2312" w:hAnsi="Calibri" w:eastAsia="仿宋_GB2312"/>
          <w:b w:val="0"/>
          <w:szCs w:val="32"/>
        </w:rPr>
      </w:pPr>
      <w:r>
        <w:rPr>
          <w:rFonts w:hint="eastAsia" w:ascii="仿宋_GB2312" w:hAnsi="Calibri" w:eastAsia="仿宋_GB2312"/>
          <w:b w:val="0"/>
          <w:szCs w:val="32"/>
          <w:lang w:val="en-US" w:eastAsia="zh-CN"/>
        </w:rPr>
        <w:t>四</w:t>
      </w:r>
      <w:r>
        <w:rPr>
          <w:rFonts w:hint="eastAsia" w:ascii="仿宋_GB2312" w:hAnsi="Calibri" w:eastAsia="仿宋_GB2312"/>
          <w:b w:val="0"/>
          <w:szCs w:val="32"/>
        </w:rPr>
        <w:t>、系统容灾服务</w:t>
      </w:r>
    </w:p>
    <w:p w14:paraId="6EB7CCD6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需为</w:t>
      </w:r>
      <w:r>
        <w:rPr>
          <w:rFonts w:hint="eastAsia" w:ascii="宋体" w:hAnsi="宋体"/>
          <w:sz w:val="24"/>
          <w:lang w:val="en-US" w:eastAsia="zh-CN"/>
        </w:rPr>
        <w:t>采购人的</w:t>
      </w:r>
      <w:r>
        <w:rPr>
          <w:rFonts w:hint="eastAsia" w:ascii="宋体" w:hAnsi="宋体"/>
          <w:sz w:val="24"/>
        </w:rPr>
        <w:t>云平台提供“跨地域备份与业务接续”服务：通过“异地数据同步、数据多份存储、两地环境备份、数据访问加速”等技术，一方面确保核心信息不丢失，达到医疗行业高级别数据可靠性标准；另一方面保障灾难发生时，医院业务能快速恢复，避免因系统停运影响患者就医。</w:t>
      </w:r>
    </w:p>
    <w:p w14:paraId="7ABB936D">
      <w:pPr>
        <w:spacing w:line="360" w:lineRule="auto"/>
        <w:rPr>
          <w:rFonts w:ascii="宋体" w:hAnsi="宋体"/>
          <w:sz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1A354">
    <w:pPr>
      <w:pStyle w:val="6"/>
    </w:pPr>
    <w:r>
      <w:pict>
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5dblS0AAAAAUBAAAPAAAAAAAAAAEAIAAA&#10;ACIAAABkcnMvZG93bnJldi54bWxQSwECFAAUAAAACACHTuJAdZBKF9sBAAC3AwAADgAAAAAAAAAB&#10;ACAAAAAfAQAAZHJzL2Uyb0RvYy54bWxQSwUGAAAAAAYABgBZAQAAbAUAAAAA&#10;">
          <v:path/>
          <v:fill on="f" focussize="0,0"/>
          <v:stroke on="f"/>
          <v:imagedata o:title=""/>
          <o:lock v:ext="edit"/>
          <v:textbox inset="0mm,0mm,0mm,0mm" style="mso-fit-shape-to-text:t;">
            <w:txbxContent>
              <w:p w14:paraId="50070AC0">
                <w:pPr>
                  <w:pStyle w:val="6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rect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C83EF1"/>
    <w:rsid w:val="001A0A2D"/>
    <w:rsid w:val="0033522C"/>
    <w:rsid w:val="00363C55"/>
    <w:rsid w:val="00575535"/>
    <w:rsid w:val="00636B90"/>
    <w:rsid w:val="00790A75"/>
    <w:rsid w:val="007D28DB"/>
    <w:rsid w:val="008671A8"/>
    <w:rsid w:val="00A1052C"/>
    <w:rsid w:val="00AA4B73"/>
    <w:rsid w:val="00C83EF1"/>
    <w:rsid w:val="00DE675C"/>
    <w:rsid w:val="00DF0008"/>
    <w:rsid w:val="00E94453"/>
    <w:rsid w:val="31F14AF0"/>
    <w:rsid w:val="50510B3C"/>
    <w:rsid w:val="56A66962"/>
    <w:rsid w:val="60662235"/>
    <w:rsid w:val="73A3395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99"/>
    <w:pPr>
      <w:spacing w:after="120"/>
    </w:pPr>
    <w:rPr>
      <w:rFonts w:ascii="Times New Roman" w:hAnsi="Times New Roman" w:cs="Times New Roman"/>
      <w:sz w:val="24"/>
    </w:rPr>
  </w:style>
  <w:style w:type="paragraph" w:styleId="5">
    <w:name w:val="Body Text Indent"/>
    <w:basedOn w:val="1"/>
    <w:qFormat/>
    <w:uiPriority w:val="99"/>
    <w:pPr>
      <w:ind w:left="420" w:leftChars="2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Body Text First Indent 2"/>
    <w:basedOn w:val="5"/>
    <w:qFormat/>
    <w:uiPriority w:val="0"/>
    <w:pPr>
      <w:spacing w:after="120"/>
      <w:ind w:firstLine="420"/>
    </w:pPr>
    <w:rPr>
      <w:rFonts w:ascii="Times New Roman" w:hAnsi="Times New Roman" w:cs="Times New Roman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3791</Words>
  <Characters>3812</Characters>
  <Lines>39</Lines>
  <Paragraphs>10</Paragraphs>
  <TotalTime>2</TotalTime>
  <ScaleCrop>false</ScaleCrop>
  <LinksUpToDate>false</LinksUpToDate>
  <CharactersWithSpaces>3813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2025-11-20T18:23:00Z</dcterms:created>
  <dc:creator>昔杨今雨</dc:creator>
  <cp:lastModifiedBy>Administrator</cp:lastModifiedBy>
  <dcterms:modified xsi:type="dcterms:W3CDTF">2026-01-13T05:27:13Z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6715551BB225446DBAA9CB13F893D0C7_13</vt:lpwstr>
  </property>
  <property fmtid="{D5CDD505-2E9C-101B-9397-08002B2CF9AE}" pid="4" name="KSOTemplateDocerSaveRecord">
    <vt:lpwstr>eyJoZGlkIjoiMWY5YThlYzM4MDNlYzc3ODg3N2MzNDM4ZDkwNDU2ZTkiLCJ1c2VySWQiOiIxMDA3MTcwMTQyIn0=</vt:lpwstr>
  </property>
</Properties>
</file>