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tbl>
      <w:tblPr>
        <w:tblStyle w:val="3"/>
        <w:tblpPr w:leftFromText="180" w:rightFromText="180" w:vertAnchor="text" w:horzAnchor="page" w:tblpX="1630" w:tblpY="8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830"/>
        <w:gridCol w:w="219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1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南宁市工程系列水利水电行业材料清单职称申报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材料类型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材料内容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材料要求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基本通用条件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1.学历学位证书材料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2.下一级职称证书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3.政府人社部门继续教育材料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4.社保缴费情况                                       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网络获取；无法获取的，请按照通知文件进行相应材料上传。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不可缺少的硬件材料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无职称申报人员应提供材料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1.公务员登记表、干部调动通知（国家机关流动到企事业单位人员提供）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.企业劳动合同社保缴费证明（民营企业人员提供）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.学历学位证书等能证明符合申报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历、资历条件的相关材料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原件扫描件，如提供复印件应由单位标注“与原件一致”、日期并加盖公章。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不可缺少的硬件材料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破格申报人员应提供材料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1.破格申报职称意见表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2.学历以及资历的证明材料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3.符合破格条件的成果证明材料等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不可缺少的硬件材料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身份证号码非正常升位（变动）/不同身份证号码关联应提供材料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户籍管理部门关于两个身份证号码属于同一人证明材料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不可缺少的硬件材料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专业技术工作经历、业绩成果材料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按评审条件要求准备相应辅助证明材料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必备条件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论文著作条件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按评审条件要求准备相应辅助证明材料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刊物封面、目录、主要内容、刊物在国家新闻出版署门户网站的查询截图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必备条件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zUwM2U0M2Q0MDU1MTAyYTdhNzliYzVhNWRkNzEifQ=="/>
  </w:docVars>
  <w:rsids>
    <w:rsidRoot w:val="00000000"/>
    <w:rsid w:val="06076B97"/>
    <w:rsid w:val="12736C50"/>
    <w:rsid w:val="74E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578</Characters>
  <Lines>0</Lines>
  <Paragraphs>0</Paragraphs>
  <TotalTime>1</TotalTime>
  <ScaleCrop>false</ScaleCrop>
  <LinksUpToDate>false</LinksUpToDate>
  <CharactersWithSpaces>719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2022-06-22T02:57:00Z</dcterms:created>
  <dc:creator>天行者</dc:creator>
  <cp:lastModifiedBy>天行者</cp:lastModifiedBy>
  <dcterms:modified xsi:type="dcterms:W3CDTF">2022-06-22T03:25:00Z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DBB6C8C27BAE4C34B0173A24837D8CA9</vt:lpwstr>
  </property>
</Properties>
</file>