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80" w:firstLine="0" w:firstLineChars="0"/>
        <w:jc w:val="center"/>
        <w:rPr>
          <w:color w:val="0000FF"/>
        </w:rPr>
      </w:pPr>
    </w:p>
    <w:p>
      <w:pPr>
        <w:ind w:left="480" w:firstLine="0" w:firstLineChars="0"/>
        <w:jc w:val="center"/>
        <w:rPr>
          <w:color w:val="0000FF"/>
        </w:rPr>
      </w:pPr>
    </w:p>
    <w:p>
      <w:pPr>
        <w:ind w:left="480" w:firstLine="0" w:firstLineChars="0"/>
        <w:jc w:val="center"/>
        <w:rPr>
          <w:color w:val="0000FF"/>
        </w:rPr>
      </w:pPr>
    </w:p>
    <w:p>
      <w:pPr>
        <w:ind w:firstLine="0" w:firstLineChars="0"/>
        <w:jc w:val="center"/>
        <w:rPr>
          <w:rFonts w:hint="eastAsia" w:ascii="仿宋" w:hAnsi="仿宋" w:eastAsia="仿宋"/>
          <w:b/>
          <w:color w:val="000000" w:themeColor="text1"/>
          <w:sz w:val="52"/>
          <w:szCs w:val="52"/>
          <w:lang w:val="en-US" w:eastAsia="zh-CN"/>
          <w14:textFill>
            <w14:solidFill>
              <w14:schemeClr w14:val="tx1"/>
            </w14:solidFill>
          </w14:textFill>
        </w:rPr>
      </w:pPr>
      <w:r>
        <w:rPr>
          <w:rFonts w:hint="eastAsia" w:ascii="仿宋" w:hAnsi="仿宋" w:eastAsia="仿宋"/>
          <w:b/>
          <w:color w:val="000000" w:themeColor="text1"/>
          <w:sz w:val="52"/>
          <w:szCs w:val="52"/>
          <w:lang w:val="en-US" w:eastAsia="zh-CN"/>
          <w14:textFill>
            <w14:solidFill>
              <w14:schemeClr w14:val="tx1"/>
            </w14:solidFill>
          </w14:textFill>
        </w:rPr>
        <w:t>贵港港中心港区东山作业区5号至7号泊位工程</w:t>
      </w:r>
    </w:p>
    <w:p>
      <w:pPr>
        <w:ind w:firstLine="0" w:firstLineChars="0"/>
        <w:jc w:val="center"/>
        <w:rPr>
          <w:rFonts w:hint="eastAsia" w:ascii="仿宋" w:hAnsi="仿宋" w:eastAsia="仿宋"/>
          <w:b/>
          <w:color w:val="000000" w:themeColor="text1"/>
          <w:sz w:val="52"/>
          <w:szCs w:val="52"/>
          <w:lang w:val="en-US" w:eastAsia="zh-CN"/>
          <w14:textFill>
            <w14:solidFill>
              <w14:schemeClr w14:val="tx1"/>
            </w14:solidFill>
          </w14:textFill>
        </w:rPr>
      </w:pPr>
    </w:p>
    <w:p>
      <w:pPr>
        <w:ind w:firstLine="0" w:firstLineChars="0"/>
        <w:jc w:val="center"/>
        <w:rPr>
          <w:rFonts w:ascii="黑体" w:hAnsi="黑体" w:eastAsia="黑体"/>
          <w:color w:val="000000" w:themeColor="text1"/>
          <w:sz w:val="44"/>
          <w:szCs w:val="44"/>
          <w14:textFill>
            <w14:solidFill>
              <w14:schemeClr w14:val="tx1"/>
            </w14:solidFill>
          </w14:textFill>
        </w:rPr>
      </w:pPr>
      <w:r>
        <w:rPr>
          <w:rFonts w:hint="eastAsia" w:ascii="黑体" w:hAnsi="黑体" w:eastAsia="黑体"/>
          <w:color w:val="000000" w:themeColor="text1"/>
          <w:sz w:val="44"/>
          <w:szCs w:val="44"/>
          <w14:textFill>
            <w14:solidFill>
              <w14:schemeClr w14:val="tx1"/>
            </w14:solidFill>
          </w14:textFill>
        </w:rPr>
        <w:t>环境影响评价公众参与说明</w:t>
      </w: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color w:val="000000" w:themeColor="text1"/>
          <w14:textFill>
            <w14:solidFill>
              <w14:schemeClr w14:val="tx1"/>
            </w14:solidFill>
          </w14:textFill>
        </w:rPr>
      </w:pPr>
    </w:p>
    <w:p>
      <w:pPr>
        <w:ind w:firstLine="0" w:firstLineChars="0"/>
        <w:jc w:val="center"/>
        <w:rPr>
          <w:rFonts w:hint="default" w:eastAsia="黑体" w:cs="Times New Roman"/>
          <w:color w:val="000000" w:themeColor="text1"/>
          <w:sz w:val="30"/>
          <w:szCs w:val="30"/>
          <w:lang w:val="en-US" w:eastAsia="zh-CN"/>
          <w14:textFill>
            <w14:solidFill>
              <w14:schemeClr w14:val="tx1"/>
            </w14:solidFill>
          </w14:textFill>
        </w:rPr>
      </w:pPr>
      <w:r>
        <w:rPr>
          <w:rFonts w:eastAsia="黑体" w:cs="Times New Roman"/>
          <w:color w:val="000000" w:themeColor="text1"/>
          <w:sz w:val="30"/>
          <w:szCs w:val="30"/>
          <w14:textFill>
            <w14:solidFill>
              <w14:schemeClr w14:val="tx1"/>
            </w14:solidFill>
          </w14:textFill>
        </w:rPr>
        <w:t>建设单位：</w:t>
      </w:r>
      <w:r>
        <w:rPr>
          <w:rFonts w:hint="eastAsia" w:eastAsia="黑体" w:cs="Times New Roman"/>
          <w:color w:val="000000" w:themeColor="text1"/>
          <w:sz w:val="30"/>
          <w:szCs w:val="30"/>
          <w:lang w:val="en-US" w:eastAsia="zh-CN"/>
          <w14:textFill>
            <w14:solidFill>
              <w14:schemeClr w14:val="tx1"/>
            </w14:solidFill>
          </w14:textFill>
        </w:rPr>
        <w:t>贵港市东山港港务有限公司</w:t>
      </w:r>
    </w:p>
    <w:p>
      <w:pPr>
        <w:ind w:firstLine="0" w:firstLineChars="0"/>
        <w:jc w:val="center"/>
        <w:rPr>
          <w:rFonts w:eastAsia="黑体" w:cs="Times New Roman"/>
          <w:color w:val="000000" w:themeColor="text1"/>
          <w:sz w:val="30"/>
          <w:szCs w:val="30"/>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797" w:bottom="1418" w:left="1797" w:header="851" w:footer="992" w:gutter="0"/>
          <w:cols w:space="425" w:num="1"/>
          <w:docGrid w:type="lines" w:linePitch="312" w:charSpace="0"/>
        </w:sectPr>
      </w:pPr>
      <w:r>
        <w:rPr>
          <w:rFonts w:hint="eastAsia" w:eastAsia="黑体" w:cs="Times New Roman"/>
          <w:color w:val="000000" w:themeColor="text1"/>
          <w:sz w:val="30"/>
          <w:szCs w:val="30"/>
          <w:lang w:val="en-US" w:eastAsia="zh-CN"/>
          <w14:textFill>
            <w14:solidFill>
              <w14:schemeClr w14:val="tx1"/>
            </w14:solidFill>
          </w14:textFill>
        </w:rPr>
        <w:t>2024</w:t>
      </w:r>
      <w:r>
        <w:rPr>
          <w:rFonts w:eastAsia="黑体" w:cs="Times New Roman"/>
          <w:color w:val="000000" w:themeColor="text1"/>
          <w:sz w:val="30"/>
          <w:szCs w:val="30"/>
          <w14:textFill>
            <w14:solidFill>
              <w14:schemeClr w14:val="tx1"/>
            </w14:solidFill>
          </w14:textFill>
        </w:rPr>
        <w:t>年</w:t>
      </w:r>
      <w:r>
        <w:rPr>
          <w:rFonts w:hint="eastAsia" w:eastAsia="黑体" w:cs="Times New Roman"/>
          <w:color w:val="000000" w:themeColor="text1"/>
          <w:sz w:val="30"/>
          <w:szCs w:val="30"/>
          <w:lang w:val="en-US" w:eastAsia="zh-CN"/>
          <w14:textFill>
            <w14:solidFill>
              <w14:schemeClr w14:val="tx1"/>
            </w14:solidFill>
          </w14:textFill>
        </w:rPr>
        <w:t>4</w:t>
      </w:r>
      <w:r>
        <w:rPr>
          <w:rFonts w:eastAsia="黑体" w:cs="Times New Roman"/>
          <w:color w:val="000000" w:themeColor="text1"/>
          <w:sz w:val="30"/>
          <w:szCs w:val="30"/>
          <w14:textFill>
            <w14:solidFill>
              <w14:schemeClr w14:val="tx1"/>
            </w14:solidFill>
          </w14:textFill>
        </w:rPr>
        <w:t>月</w:t>
      </w:r>
    </w:p>
    <w:p>
      <w:pPr>
        <w:pStyle w:val="13"/>
        <w:rPr>
          <w:color w:val="000000" w:themeColor="text1"/>
          <w:sz w:val="30"/>
          <w14:textFill>
            <w14:solidFill>
              <w14:schemeClr w14:val="tx1"/>
            </w14:solidFill>
          </w14:textFill>
        </w:rPr>
        <w:sectPr>
          <w:pgSz w:w="11906" w:h="16838"/>
          <w:pgMar w:top="1418" w:right="1797" w:bottom="1418" w:left="1797" w:header="851" w:footer="992" w:gutter="0"/>
          <w:cols w:space="425" w:num="1"/>
          <w:docGrid w:type="lines" w:linePitch="312" w:charSpace="0"/>
        </w:sectPr>
      </w:pPr>
      <w:r>
        <w:rPr>
          <w:rFonts w:hint="eastAsia"/>
          <w:color w:val="000000" w:themeColor="text1"/>
          <w:sz w:val="30"/>
          <w14:textFill>
            <w14:solidFill>
              <w14:schemeClr w14:val="tx1"/>
            </w14:solidFill>
          </w14:textFill>
        </w:rPr>
        <w:t xml:space="preserve">目 </w:t>
      </w:r>
      <w:r>
        <w:rPr>
          <w:color w:val="000000" w:themeColor="text1"/>
          <w:sz w:val="30"/>
          <w14:textFill>
            <w14:solidFill>
              <w14:schemeClr w14:val="tx1"/>
            </w14:solidFill>
          </w14:textFill>
        </w:rPr>
        <w:t xml:space="preserve"> </w:t>
      </w:r>
      <w:r>
        <w:rPr>
          <w:rFonts w:hint="eastAsia"/>
          <w:color w:val="000000" w:themeColor="text1"/>
          <w:sz w:val="30"/>
          <w14:textFill>
            <w14:solidFill>
              <w14:schemeClr w14:val="tx1"/>
            </w14:solidFill>
          </w14:textFill>
        </w:rPr>
        <w:t>录</w:t>
      </w:r>
    </w:p>
    <w:p>
      <w:pPr>
        <w:pStyle w:val="13"/>
        <w:tabs>
          <w:tab w:val="right" w:leader="dot" w:pos="8312"/>
          <w:tab w:val="clear" w:pos="8302"/>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"1-2" \h \z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_Toc19037 </w:instrText>
      </w:r>
      <w:r>
        <w:fldChar w:fldCharType="separate"/>
      </w:r>
      <w:r>
        <w:rPr>
          <w:rFonts w:hint="default" w:ascii="Times New Roman" w:hAnsi="Times New Roman" w:eastAsia="宋体"/>
          <w:i w:val="0"/>
          <w:caps w:val="0"/>
          <w:strike w:val="0"/>
          <w:dstrike w:val="0"/>
          <w:vanish w:val="0"/>
          <w:vertAlign w:val="baseline"/>
        </w:rPr>
        <w:t xml:space="preserve">1 </w:t>
      </w:r>
      <w:r>
        <w:rPr>
          <w:rFonts w:hint="eastAsia"/>
        </w:rPr>
        <w:t>概述</w:t>
      </w:r>
      <w:r>
        <w:tab/>
      </w:r>
      <w:r>
        <w:fldChar w:fldCharType="begin"/>
      </w:r>
      <w:r>
        <w:instrText xml:space="preserve"> PAGEREF _Toc19037 \h </w:instrText>
      </w:r>
      <w:r>
        <w:fldChar w:fldCharType="separate"/>
      </w:r>
      <w:r>
        <w:t>1</w:t>
      </w:r>
      <w:r>
        <w:fldChar w:fldCharType="end"/>
      </w:r>
      <w:r>
        <w:rPr>
          <w:color w:val="000000" w:themeColor="text1"/>
          <w14:textFill>
            <w14:solidFill>
              <w14:schemeClr w14:val="tx1"/>
            </w14:solidFill>
          </w14:textFill>
        </w:rPr>
        <w:fldChar w:fldCharType="end"/>
      </w:r>
    </w:p>
    <w:p>
      <w:pPr>
        <w:pStyle w:val="13"/>
        <w:tabs>
          <w:tab w:val="right" w:leader="dot" w:pos="8312"/>
          <w:tab w:val="clear" w:pos="8302"/>
        </w:tabs>
      </w:pPr>
      <w:r>
        <w:rPr>
          <w:color w:val="000000" w:themeColor="text1"/>
          <w:szCs w:val="30"/>
          <w14:textFill>
            <w14:solidFill>
              <w14:schemeClr w14:val="tx1"/>
            </w14:solidFill>
          </w14:textFill>
        </w:rPr>
        <w:fldChar w:fldCharType="begin"/>
      </w:r>
      <w:r>
        <w:rPr>
          <w:szCs w:val="30"/>
        </w:rPr>
        <w:instrText xml:space="preserve"> HYPERLINK \l _Toc9544 </w:instrText>
      </w:r>
      <w:r>
        <w:rPr>
          <w:szCs w:val="30"/>
        </w:rPr>
        <w:fldChar w:fldCharType="separate"/>
      </w:r>
      <w:r>
        <w:rPr>
          <w:rFonts w:hint="default" w:ascii="Times New Roman" w:hAnsi="Times New Roman" w:eastAsia="宋体"/>
          <w:i w:val="0"/>
          <w:caps w:val="0"/>
          <w:strike w:val="0"/>
          <w:dstrike w:val="0"/>
          <w:vanish w:val="0"/>
          <w:vertAlign w:val="baseline"/>
        </w:rPr>
        <w:t xml:space="preserve">2 </w:t>
      </w:r>
      <w:r>
        <w:rPr>
          <w:rFonts w:hint="eastAsia"/>
        </w:rPr>
        <w:t>首次环境影响评价信息公开情况</w:t>
      </w:r>
      <w:r>
        <w:tab/>
      </w:r>
      <w:r>
        <w:fldChar w:fldCharType="begin"/>
      </w:r>
      <w:r>
        <w:instrText xml:space="preserve"> PAGEREF _Toc9544 \h </w:instrText>
      </w:r>
      <w:r>
        <w:fldChar w:fldCharType="separate"/>
      </w:r>
      <w:r>
        <w:t>2</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_Toc29988 </w:instrText>
      </w:r>
      <w:r>
        <w:rPr>
          <w:szCs w:val="30"/>
        </w:rPr>
        <w:fldChar w:fldCharType="separate"/>
      </w:r>
      <w:r>
        <w:rPr>
          <w:rFonts w:hint="default" w:ascii="Times New Roman" w:hAnsi="Times New Roman" w:eastAsia="宋体"/>
          <w:i w:val="0"/>
          <w:caps w:val="0"/>
          <w:strike w:val="0"/>
          <w:dstrike w:val="0"/>
          <w:vanish w:val="0"/>
          <w:vertAlign w:val="baseline"/>
        </w:rPr>
        <w:t xml:space="preserve">2.1 </w:t>
      </w:r>
      <w:r>
        <w:rPr>
          <w:rFonts w:hint="eastAsia"/>
        </w:rPr>
        <w:t>公开内容及日期</w:t>
      </w:r>
      <w:r>
        <w:tab/>
      </w:r>
      <w:r>
        <w:fldChar w:fldCharType="begin"/>
      </w:r>
      <w:r>
        <w:instrText xml:space="preserve"> PAGEREF _Toc29988 \h </w:instrText>
      </w:r>
      <w:r>
        <w:fldChar w:fldCharType="separate"/>
      </w:r>
      <w:r>
        <w:t>2</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_Toc16805 </w:instrText>
      </w:r>
      <w:r>
        <w:rPr>
          <w:szCs w:val="30"/>
        </w:rPr>
        <w:fldChar w:fldCharType="separate"/>
      </w:r>
      <w:r>
        <w:rPr>
          <w:rFonts w:hint="default" w:ascii="Times New Roman" w:hAnsi="Times New Roman" w:eastAsia="宋体"/>
          <w:i w:val="0"/>
          <w:caps w:val="0"/>
          <w:strike w:val="0"/>
          <w:dstrike w:val="0"/>
          <w:vanish w:val="0"/>
          <w:vertAlign w:val="baseline"/>
        </w:rPr>
        <w:t xml:space="preserve">2.2 </w:t>
      </w:r>
      <w:r>
        <w:rPr>
          <w:rFonts w:hint="eastAsia"/>
        </w:rPr>
        <w:t>公开方式</w:t>
      </w:r>
      <w:r>
        <w:tab/>
      </w:r>
      <w:r>
        <w:fldChar w:fldCharType="begin"/>
      </w:r>
      <w:r>
        <w:instrText xml:space="preserve"> PAGEREF _Toc16805 \h </w:instrText>
      </w:r>
      <w:r>
        <w:fldChar w:fldCharType="separate"/>
      </w:r>
      <w:r>
        <w:t>2</w:t>
      </w:r>
      <w:r>
        <w:fldChar w:fldCharType="end"/>
      </w:r>
      <w:r>
        <w:rPr>
          <w:color w:val="000000" w:themeColor="text1"/>
          <w:szCs w:val="30"/>
          <w14:textFill>
            <w14:solidFill>
              <w14:schemeClr w14:val="tx1"/>
            </w14:solidFill>
          </w14:textFill>
        </w:rPr>
        <w:fldChar w:fldCharType="end"/>
      </w:r>
    </w:p>
    <w:p>
      <w:pPr>
        <w:pStyle w:val="13"/>
        <w:tabs>
          <w:tab w:val="right" w:leader="dot" w:pos="8312"/>
          <w:tab w:val="clear" w:pos="8302"/>
        </w:tabs>
      </w:pPr>
      <w:r>
        <w:rPr>
          <w:color w:val="000000" w:themeColor="text1"/>
          <w:szCs w:val="30"/>
          <w14:textFill>
            <w14:solidFill>
              <w14:schemeClr w14:val="tx1"/>
            </w14:solidFill>
          </w14:textFill>
        </w:rPr>
        <w:fldChar w:fldCharType="begin"/>
      </w:r>
      <w:r>
        <w:rPr>
          <w:szCs w:val="30"/>
        </w:rPr>
        <w:instrText xml:space="preserve"> HYPERLINK \l _Toc19990 </w:instrText>
      </w:r>
      <w:r>
        <w:rPr>
          <w:szCs w:val="30"/>
        </w:rPr>
        <w:fldChar w:fldCharType="separate"/>
      </w:r>
      <w:r>
        <w:rPr>
          <w:rFonts w:hint="default" w:ascii="Times New Roman" w:hAnsi="Times New Roman" w:eastAsia="宋体"/>
          <w:i w:val="0"/>
          <w:caps w:val="0"/>
          <w:strike w:val="0"/>
          <w:dstrike w:val="0"/>
          <w:vanish w:val="0"/>
          <w:vertAlign w:val="baseline"/>
        </w:rPr>
        <w:t xml:space="preserve">3 </w:t>
      </w:r>
      <w:r>
        <w:rPr>
          <w:rFonts w:hint="eastAsia"/>
        </w:rPr>
        <w:t>征求意见稿公示情况</w:t>
      </w:r>
      <w:r>
        <w:tab/>
      </w:r>
      <w:r>
        <w:fldChar w:fldCharType="begin"/>
      </w:r>
      <w:r>
        <w:instrText xml:space="preserve"> PAGEREF _Toc19990 \h </w:instrText>
      </w:r>
      <w:r>
        <w:fldChar w:fldCharType="separate"/>
      </w:r>
      <w:r>
        <w:t>4</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_Toc8278 </w:instrText>
      </w:r>
      <w:r>
        <w:rPr>
          <w:szCs w:val="30"/>
        </w:rPr>
        <w:fldChar w:fldCharType="separate"/>
      </w:r>
      <w:r>
        <w:rPr>
          <w:rFonts w:hint="default" w:ascii="Times New Roman" w:hAnsi="Times New Roman" w:eastAsia="宋体"/>
          <w:i w:val="0"/>
          <w:caps w:val="0"/>
          <w:strike w:val="0"/>
          <w:dstrike w:val="0"/>
          <w:vanish w:val="0"/>
          <w:vertAlign w:val="baseline"/>
        </w:rPr>
        <w:t xml:space="preserve">3.1 </w:t>
      </w:r>
      <w:r>
        <w:rPr>
          <w:rFonts w:hint="eastAsia"/>
        </w:rPr>
        <w:t>公示内容及时限</w:t>
      </w:r>
      <w:r>
        <w:tab/>
      </w:r>
      <w:r>
        <w:fldChar w:fldCharType="begin"/>
      </w:r>
      <w:r>
        <w:instrText xml:space="preserve"> PAGEREF _Toc8278 \h </w:instrText>
      </w:r>
      <w:r>
        <w:fldChar w:fldCharType="separate"/>
      </w:r>
      <w:r>
        <w:t>4</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_Toc6798 </w:instrText>
      </w:r>
      <w:r>
        <w:rPr>
          <w:szCs w:val="30"/>
        </w:rPr>
        <w:fldChar w:fldCharType="separate"/>
      </w:r>
      <w:r>
        <w:rPr>
          <w:rFonts w:hint="default" w:ascii="Times New Roman" w:hAnsi="Times New Roman" w:eastAsia="宋体"/>
          <w:i w:val="0"/>
          <w:caps w:val="0"/>
          <w:strike w:val="0"/>
          <w:dstrike w:val="0"/>
          <w:vanish w:val="0"/>
          <w:vertAlign w:val="baseline"/>
        </w:rPr>
        <w:t xml:space="preserve">3.2 </w:t>
      </w:r>
      <w:r>
        <w:rPr>
          <w:rFonts w:hint="eastAsia"/>
        </w:rPr>
        <w:t>公示方式</w:t>
      </w:r>
      <w:r>
        <w:tab/>
      </w:r>
      <w:r>
        <w:fldChar w:fldCharType="begin"/>
      </w:r>
      <w:r>
        <w:instrText xml:space="preserve"> PAGEREF _Toc6798 \h </w:instrText>
      </w:r>
      <w:r>
        <w:fldChar w:fldCharType="separate"/>
      </w:r>
      <w:r>
        <w:t>4</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_Toc4586 </w:instrText>
      </w:r>
      <w:r>
        <w:rPr>
          <w:szCs w:val="30"/>
        </w:rPr>
        <w:fldChar w:fldCharType="separate"/>
      </w:r>
      <w:r>
        <w:rPr>
          <w:rFonts w:hint="default" w:ascii="Times New Roman" w:hAnsi="Times New Roman" w:eastAsia="宋体"/>
          <w:i w:val="0"/>
          <w:caps w:val="0"/>
          <w:strike w:val="0"/>
          <w:dstrike w:val="0"/>
          <w:vanish w:val="0"/>
          <w:vertAlign w:val="baseline"/>
        </w:rPr>
        <w:t xml:space="preserve">3.3 </w:t>
      </w:r>
      <w:r>
        <w:rPr>
          <w:rFonts w:hint="eastAsia"/>
        </w:rPr>
        <w:t>查阅情况</w:t>
      </w:r>
      <w:r>
        <w:tab/>
      </w:r>
      <w:r>
        <w:fldChar w:fldCharType="begin"/>
      </w:r>
      <w:r>
        <w:instrText xml:space="preserve"> PAGEREF _Toc4586 \h </w:instrText>
      </w:r>
      <w:r>
        <w:fldChar w:fldCharType="separate"/>
      </w:r>
      <w:r>
        <w:t>9</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_Toc3834 </w:instrText>
      </w:r>
      <w:r>
        <w:rPr>
          <w:szCs w:val="30"/>
        </w:rPr>
        <w:fldChar w:fldCharType="separate"/>
      </w:r>
      <w:r>
        <w:rPr>
          <w:rFonts w:hint="default" w:ascii="Times New Roman" w:hAnsi="Times New Roman" w:eastAsia="宋体"/>
          <w:i w:val="0"/>
          <w:caps w:val="0"/>
          <w:strike w:val="0"/>
          <w:dstrike w:val="0"/>
          <w:vanish w:val="0"/>
          <w:vertAlign w:val="baseline"/>
        </w:rPr>
        <w:t xml:space="preserve">3.4 </w:t>
      </w:r>
      <w:r>
        <w:rPr>
          <w:rFonts w:hint="eastAsia"/>
        </w:rPr>
        <w:t>公众提出意见情况</w:t>
      </w:r>
      <w:r>
        <w:tab/>
      </w:r>
      <w:r>
        <w:fldChar w:fldCharType="begin"/>
      </w:r>
      <w:r>
        <w:instrText xml:space="preserve"> PAGEREF _Toc3834 \h </w:instrText>
      </w:r>
      <w:r>
        <w:fldChar w:fldCharType="separate"/>
      </w:r>
      <w:r>
        <w:t>9</w:t>
      </w:r>
      <w:r>
        <w:fldChar w:fldCharType="end"/>
      </w:r>
      <w:r>
        <w:rPr>
          <w:color w:val="000000" w:themeColor="text1"/>
          <w:szCs w:val="30"/>
          <w14:textFill>
            <w14:solidFill>
              <w14:schemeClr w14:val="tx1"/>
            </w14:solidFill>
          </w14:textFill>
        </w:rPr>
        <w:fldChar w:fldCharType="end"/>
      </w:r>
    </w:p>
    <w:p>
      <w:pPr>
        <w:pStyle w:val="13"/>
        <w:tabs>
          <w:tab w:val="right" w:leader="dot" w:pos="8312"/>
          <w:tab w:val="clear" w:pos="8302"/>
        </w:tabs>
      </w:pPr>
      <w:r>
        <w:rPr>
          <w:color w:val="000000" w:themeColor="text1"/>
          <w:szCs w:val="30"/>
          <w14:textFill>
            <w14:solidFill>
              <w14:schemeClr w14:val="tx1"/>
            </w14:solidFill>
          </w14:textFill>
        </w:rPr>
        <w:fldChar w:fldCharType="begin"/>
      </w:r>
      <w:r>
        <w:rPr>
          <w:szCs w:val="30"/>
        </w:rPr>
        <w:instrText xml:space="preserve"> HYPERLINK \l _Toc28362 </w:instrText>
      </w:r>
      <w:r>
        <w:rPr>
          <w:szCs w:val="30"/>
        </w:rPr>
        <w:fldChar w:fldCharType="separate"/>
      </w:r>
      <w:r>
        <w:rPr>
          <w:rFonts w:hint="default" w:ascii="Times New Roman" w:hAnsi="Times New Roman" w:eastAsia="宋体"/>
          <w:i w:val="0"/>
          <w:caps w:val="0"/>
          <w:strike w:val="0"/>
          <w:dstrike w:val="0"/>
          <w:vanish w:val="0"/>
          <w:vertAlign w:val="baseline"/>
        </w:rPr>
        <w:t xml:space="preserve">4 </w:t>
      </w:r>
      <w:r>
        <w:rPr>
          <w:rFonts w:hint="eastAsia"/>
        </w:rPr>
        <w:t>其他公众参与情况</w:t>
      </w:r>
      <w:r>
        <w:tab/>
      </w:r>
      <w:r>
        <w:fldChar w:fldCharType="begin"/>
      </w:r>
      <w:r>
        <w:instrText xml:space="preserve"> PAGEREF _Toc28362 \h </w:instrText>
      </w:r>
      <w:r>
        <w:fldChar w:fldCharType="separate"/>
      </w:r>
      <w:r>
        <w:t>10</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_Toc2315 </w:instrText>
      </w:r>
      <w:r>
        <w:rPr>
          <w:szCs w:val="30"/>
        </w:rPr>
        <w:fldChar w:fldCharType="separate"/>
      </w:r>
      <w:r>
        <w:rPr>
          <w:rFonts w:hint="default" w:ascii="Times New Roman" w:hAnsi="Times New Roman" w:eastAsia="宋体"/>
          <w:i w:val="0"/>
          <w:caps w:val="0"/>
          <w:strike w:val="0"/>
          <w:dstrike w:val="0"/>
          <w:vanish w:val="0"/>
          <w:vertAlign w:val="baseline"/>
        </w:rPr>
        <w:t xml:space="preserve">4.1 </w:t>
      </w:r>
      <w:r>
        <w:rPr>
          <w:rFonts w:hint="eastAsia"/>
        </w:rPr>
        <w:t>公众座谈会、听证会、专家论证会情况</w:t>
      </w:r>
      <w:r>
        <w:tab/>
      </w:r>
      <w:r>
        <w:fldChar w:fldCharType="begin"/>
      </w:r>
      <w:r>
        <w:instrText xml:space="preserve"> PAGEREF _Toc2315 \h </w:instrText>
      </w:r>
      <w:r>
        <w:fldChar w:fldCharType="separate"/>
      </w:r>
      <w:r>
        <w:t>10</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_Toc4392 </w:instrText>
      </w:r>
      <w:r>
        <w:rPr>
          <w:szCs w:val="30"/>
        </w:rPr>
        <w:fldChar w:fldCharType="separate"/>
      </w:r>
      <w:r>
        <w:rPr>
          <w:rFonts w:hint="default" w:ascii="Times New Roman" w:hAnsi="Times New Roman" w:eastAsia="宋体"/>
          <w:i w:val="0"/>
          <w:caps w:val="0"/>
          <w:strike w:val="0"/>
          <w:dstrike w:val="0"/>
          <w:vanish w:val="0"/>
          <w:vertAlign w:val="baseline"/>
        </w:rPr>
        <w:t xml:space="preserve">4.2 </w:t>
      </w:r>
      <w:r>
        <w:rPr>
          <w:rFonts w:hint="eastAsia"/>
        </w:rPr>
        <w:t>其他公众参与情况</w:t>
      </w:r>
      <w:r>
        <w:tab/>
      </w:r>
      <w:r>
        <w:fldChar w:fldCharType="begin"/>
      </w:r>
      <w:r>
        <w:instrText xml:space="preserve"> PAGEREF _Toc4392 \h </w:instrText>
      </w:r>
      <w:r>
        <w:fldChar w:fldCharType="separate"/>
      </w:r>
      <w:r>
        <w:t>10</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_Toc10339 </w:instrText>
      </w:r>
      <w:r>
        <w:rPr>
          <w:szCs w:val="30"/>
        </w:rPr>
        <w:fldChar w:fldCharType="separate"/>
      </w:r>
      <w:r>
        <w:rPr>
          <w:rFonts w:hint="default" w:ascii="Times New Roman" w:hAnsi="Times New Roman" w:eastAsia="宋体"/>
          <w:i w:val="0"/>
          <w:caps w:val="0"/>
          <w:strike w:val="0"/>
          <w:dstrike w:val="0"/>
          <w:vanish w:val="0"/>
          <w:vertAlign w:val="baseline"/>
        </w:rPr>
        <w:t xml:space="preserve">4.3 </w:t>
      </w:r>
      <w:r>
        <w:rPr>
          <w:rFonts w:hint="eastAsia"/>
        </w:rPr>
        <w:t>宣传科普情况</w:t>
      </w:r>
      <w:r>
        <w:tab/>
      </w:r>
      <w:r>
        <w:fldChar w:fldCharType="begin"/>
      </w:r>
      <w:r>
        <w:instrText xml:space="preserve"> PAGEREF _Toc10339 \h </w:instrText>
      </w:r>
      <w:r>
        <w:fldChar w:fldCharType="separate"/>
      </w:r>
      <w:r>
        <w:t>10</w:t>
      </w:r>
      <w:r>
        <w:fldChar w:fldCharType="end"/>
      </w:r>
      <w:r>
        <w:rPr>
          <w:color w:val="000000" w:themeColor="text1"/>
          <w:szCs w:val="30"/>
          <w14:textFill>
            <w14:solidFill>
              <w14:schemeClr w14:val="tx1"/>
            </w14:solidFill>
          </w14:textFill>
        </w:rPr>
        <w:fldChar w:fldCharType="end"/>
      </w:r>
    </w:p>
    <w:p>
      <w:pPr>
        <w:pStyle w:val="13"/>
        <w:tabs>
          <w:tab w:val="right" w:leader="dot" w:pos="8312"/>
          <w:tab w:val="clear" w:pos="8302"/>
        </w:tabs>
      </w:pPr>
      <w:r>
        <w:rPr>
          <w:color w:val="000000" w:themeColor="text1"/>
          <w:szCs w:val="30"/>
          <w14:textFill>
            <w14:solidFill>
              <w14:schemeClr w14:val="tx1"/>
            </w14:solidFill>
          </w14:textFill>
        </w:rPr>
        <w:fldChar w:fldCharType="begin"/>
      </w:r>
      <w:r>
        <w:rPr>
          <w:szCs w:val="30"/>
        </w:rPr>
        <w:instrText xml:space="preserve"> HYPERLINK \l _Toc30573 </w:instrText>
      </w:r>
      <w:r>
        <w:rPr>
          <w:szCs w:val="30"/>
        </w:rPr>
        <w:fldChar w:fldCharType="separate"/>
      </w:r>
      <w:r>
        <w:rPr>
          <w:rFonts w:hint="default" w:ascii="Times New Roman" w:hAnsi="Times New Roman" w:eastAsia="宋体"/>
          <w:i w:val="0"/>
          <w:caps w:val="0"/>
          <w:strike w:val="0"/>
          <w:dstrike w:val="0"/>
          <w:vanish w:val="0"/>
          <w:vertAlign w:val="baseline"/>
        </w:rPr>
        <w:t xml:space="preserve">5 </w:t>
      </w:r>
      <w:r>
        <w:rPr>
          <w:rFonts w:hint="eastAsia"/>
        </w:rPr>
        <w:t>公众意见处理情况</w:t>
      </w:r>
      <w:r>
        <w:tab/>
      </w:r>
      <w:r>
        <w:fldChar w:fldCharType="begin"/>
      </w:r>
      <w:r>
        <w:instrText xml:space="preserve"> PAGEREF _Toc30573 \h </w:instrText>
      </w:r>
      <w:r>
        <w:fldChar w:fldCharType="separate"/>
      </w:r>
      <w:r>
        <w:t>11</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_Toc8658 </w:instrText>
      </w:r>
      <w:r>
        <w:rPr>
          <w:szCs w:val="30"/>
        </w:rPr>
        <w:fldChar w:fldCharType="separate"/>
      </w:r>
      <w:r>
        <w:rPr>
          <w:rFonts w:hint="default" w:ascii="Times New Roman" w:hAnsi="Times New Roman" w:eastAsia="宋体"/>
          <w:i w:val="0"/>
          <w:caps w:val="0"/>
          <w:strike w:val="0"/>
          <w:dstrike w:val="0"/>
          <w:vanish w:val="0"/>
          <w:vertAlign w:val="baseline"/>
        </w:rPr>
        <w:t xml:space="preserve">5.1 </w:t>
      </w:r>
      <w:r>
        <w:rPr>
          <w:rFonts w:hint="eastAsia"/>
        </w:rPr>
        <w:t>公众意见概述及分析</w:t>
      </w:r>
      <w:r>
        <w:tab/>
      </w:r>
      <w:r>
        <w:fldChar w:fldCharType="begin"/>
      </w:r>
      <w:r>
        <w:instrText xml:space="preserve"> PAGEREF _Toc8658 \h </w:instrText>
      </w:r>
      <w:r>
        <w:fldChar w:fldCharType="separate"/>
      </w:r>
      <w:r>
        <w:t>11</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_Toc6920 </w:instrText>
      </w:r>
      <w:r>
        <w:rPr>
          <w:szCs w:val="30"/>
        </w:rPr>
        <w:fldChar w:fldCharType="separate"/>
      </w:r>
      <w:r>
        <w:rPr>
          <w:rFonts w:hint="default" w:ascii="Times New Roman" w:hAnsi="Times New Roman" w:eastAsia="宋体"/>
          <w:i w:val="0"/>
          <w:caps w:val="0"/>
          <w:strike w:val="0"/>
          <w:dstrike w:val="0"/>
          <w:vanish w:val="0"/>
          <w:vertAlign w:val="baseline"/>
        </w:rPr>
        <w:t xml:space="preserve">5.2 </w:t>
      </w:r>
      <w:r>
        <w:rPr>
          <w:rFonts w:hint="eastAsia"/>
        </w:rPr>
        <w:t>公众意见采纳情况</w:t>
      </w:r>
      <w:r>
        <w:tab/>
      </w:r>
      <w:r>
        <w:fldChar w:fldCharType="begin"/>
      </w:r>
      <w:r>
        <w:instrText xml:space="preserve"> PAGEREF _Toc6920 \h </w:instrText>
      </w:r>
      <w:r>
        <w:fldChar w:fldCharType="separate"/>
      </w:r>
      <w:r>
        <w:t>11</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_Toc18787 </w:instrText>
      </w:r>
      <w:r>
        <w:rPr>
          <w:szCs w:val="30"/>
        </w:rPr>
        <w:fldChar w:fldCharType="separate"/>
      </w:r>
      <w:r>
        <w:rPr>
          <w:rFonts w:hint="default" w:ascii="Times New Roman" w:hAnsi="Times New Roman" w:eastAsia="宋体"/>
          <w:i w:val="0"/>
          <w:caps w:val="0"/>
          <w:strike w:val="0"/>
          <w:dstrike w:val="0"/>
          <w:vanish w:val="0"/>
          <w:vertAlign w:val="baseline"/>
        </w:rPr>
        <w:t xml:space="preserve">5.3 </w:t>
      </w:r>
      <w:r>
        <w:rPr>
          <w:rFonts w:hint="eastAsia"/>
        </w:rPr>
        <w:t>公众意见未采纳情况</w:t>
      </w:r>
      <w:r>
        <w:tab/>
      </w:r>
      <w:r>
        <w:fldChar w:fldCharType="begin"/>
      </w:r>
      <w:r>
        <w:instrText xml:space="preserve"> PAGEREF _Toc18787 \h </w:instrText>
      </w:r>
      <w:r>
        <w:fldChar w:fldCharType="separate"/>
      </w:r>
      <w:r>
        <w:t>11</w:t>
      </w:r>
      <w:r>
        <w:fldChar w:fldCharType="end"/>
      </w:r>
      <w:r>
        <w:rPr>
          <w:color w:val="000000" w:themeColor="text1"/>
          <w:szCs w:val="30"/>
          <w14:textFill>
            <w14:solidFill>
              <w14:schemeClr w14:val="tx1"/>
            </w14:solidFill>
          </w14:textFill>
        </w:rPr>
        <w:fldChar w:fldCharType="end"/>
      </w:r>
    </w:p>
    <w:p>
      <w:pPr>
        <w:pStyle w:val="13"/>
        <w:tabs>
          <w:tab w:val="right" w:leader="dot" w:pos="8312"/>
          <w:tab w:val="clear" w:pos="8302"/>
        </w:tabs>
      </w:pPr>
      <w:r>
        <w:rPr>
          <w:color w:val="000000" w:themeColor="text1"/>
          <w:szCs w:val="30"/>
          <w14:textFill>
            <w14:solidFill>
              <w14:schemeClr w14:val="tx1"/>
            </w14:solidFill>
          </w14:textFill>
        </w:rPr>
        <w:fldChar w:fldCharType="begin"/>
      </w:r>
      <w:r>
        <w:rPr>
          <w:szCs w:val="30"/>
        </w:rPr>
        <w:instrText xml:space="preserve"> HYPERLINK \l _Toc9936 </w:instrText>
      </w:r>
      <w:r>
        <w:rPr>
          <w:szCs w:val="30"/>
        </w:rPr>
        <w:fldChar w:fldCharType="separate"/>
      </w:r>
      <w:r>
        <w:rPr>
          <w:rFonts w:hint="default" w:ascii="Times New Roman" w:hAnsi="Times New Roman" w:eastAsia="宋体"/>
          <w:i w:val="0"/>
          <w:caps w:val="0"/>
          <w:strike w:val="0"/>
          <w:dstrike w:val="0"/>
          <w:vanish w:val="0"/>
          <w:vertAlign w:val="baseline"/>
        </w:rPr>
        <w:t xml:space="preserve">6 </w:t>
      </w:r>
      <w:r>
        <w:rPr>
          <w:rFonts w:hint="eastAsia"/>
        </w:rPr>
        <w:t>报批前公开情况</w:t>
      </w:r>
      <w:r>
        <w:tab/>
      </w:r>
      <w:r>
        <w:fldChar w:fldCharType="begin"/>
      </w:r>
      <w:r>
        <w:instrText xml:space="preserve"> PAGEREF _Toc9936 \h </w:instrText>
      </w:r>
      <w:r>
        <w:fldChar w:fldCharType="separate"/>
      </w:r>
      <w:r>
        <w:t>12</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_Toc29114 </w:instrText>
      </w:r>
      <w:r>
        <w:rPr>
          <w:szCs w:val="30"/>
        </w:rPr>
        <w:fldChar w:fldCharType="separate"/>
      </w:r>
      <w:r>
        <w:rPr>
          <w:rFonts w:hint="default" w:ascii="Times New Roman" w:hAnsi="Times New Roman" w:eastAsia="宋体"/>
          <w:i w:val="0"/>
          <w:caps w:val="0"/>
          <w:strike w:val="0"/>
          <w:dstrike w:val="0"/>
          <w:vanish w:val="0"/>
          <w:vertAlign w:val="baseline"/>
        </w:rPr>
        <w:t xml:space="preserve">6.1 </w:t>
      </w:r>
      <w:r>
        <w:rPr>
          <w:rFonts w:hint="eastAsia"/>
        </w:rPr>
        <w:t>公开内容及日期</w:t>
      </w:r>
      <w:r>
        <w:tab/>
      </w:r>
      <w:r>
        <w:fldChar w:fldCharType="begin"/>
      </w:r>
      <w:r>
        <w:instrText xml:space="preserve"> PAGEREF _Toc29114 \h </w:instrText>
      </w:r>
      <w:r>
        <w:fldChar w:fldCharType="separate"/>
      </w:r>
      <w:r>
        <w:t>12</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_Toc20823 </w:instrText>
      </w:r>
      <w:r>
        <w:rPr>
          <w:szCs w:val="30"/>
        </w:rPr>
        <w:fldChar w:fldCharType="separate"/>
      </w:r>
      <w:r>
        <w:rPr>
          <w:rFonts w:hint="default" w:ascii="Times New Roman" w:hAnsi="Times New Roman" w:eastAsia="宋体"/>
          <w:i w:val="0"/>
          <w:caps w:val="0"/>
          <w:strike w:val="0"/>
          <w:dstrike w:val="0"/>
          <w:vanish w:val="0"/>
          <w:vertAlign w:val="baseline"/>
        </w:rPr>
        <w:t xml:space="preserve">6.2 </w:t>
      </w:r>
      <w:r>
        <w:rPr>
          <w:rFonts w:hint="eastAsia"/>
        </w:rPr>
        <w:t>公开方式</w:t>
      </w:r>
      <w:r>
        <w:tab/>
      </w:r>
      <w:r>
        <w:fldChar w:fldCharType="begin"/>
      </w:r>
      <w:r>
        <w:instrText xml:space="preserve"> PAGEREF _Toc20823 \h </w:instrText>
      </w:r>
      <w:r>
        <w:fldChar w:fldCharType="separate"/>
      </w:r>
      <w:r>
        <w:t>12</w:t>
      </w:r>
      <w:r>
        <w:fldChar w:fldCharType="end"/>
      </w:r>
      <w:r>
        <w:rPr>
          <w:color w:val="000000" w:themeColor="text1"/>
          <w:szCs w:val="30"/>
          <w14:textFill>
            <w14:solidFill>
              <w14:schemeClr w14:val="tx1"/>
            </w14:solidFill>
          </w14:textFill>
        </w:rPr>
        <w:fldChar w:fldCharType="end"/>
      </w:r>
    </w:p>
    <w:p>
      <w:pPr>
        <w:pStyle w:val="14"/>
        <w:tabs>
          <w:tab w:val="right" w:leader="dot" w:pos="8312"/>
        </w:tabs>
      </w:pPr>
      <w:r>
        <w:rPr>
          <w:color w:val="000000" w:themeColor="text1"/>
          <w:szCs w:val="30"/>
          <w14:textFill>
            <w14:solidFill>
              <w14:schemeClr w14:val="tx1"/>
            </w14:solidFill>
          </w14:textFill>
        </w:rPr>
        <w:fldChar w:fldCharType="begin"/>
      </w:r>
      <w:r>
        <w:rPr>
          <w:szCs w:val="30"/>
        </w:rPr>
        <w:instrText xml:space="preserve"> HYPERLINK \l _Toc29599 </w:instrText>
      </w:r>
      <w:r>
        <w:rPr>
          <w:szCs w:val="30"/>
        </w:rPr>
        <w:fldChar w:fldCharType="separate"/>
      </w:r>
      <w:r>
        <w:rPr>
          <w:rFonts w:hint="default" w:ascii="Times New Roman" w:hAnsi="Times New Roman" w:eastAsia="宋体"/>
          <w:i w:val="0"/>
          <w:caps w:val="0"/>
          <w:strike w:val="0"/>
          <w:dstrike w:val="0"/>
          <w:vanish w:val="0"/>
          <w:vertAlign w:val="baseline"/>
        </w:rPr>
        <w:t xml:space="preserve">6.3 </w:t>
      </w:r>
      <w:r>
        <w:rPr>
          <w:rFonts w:hint="eastAsia"/>
        </w:rPr>
        <w:t>其他</w:t>
      </w:r>
      <w:r>
        <w:tab/>
      </w:r>
      <w:r>
        <w:fldChar w:fldCharType="begin"/>
      </w:r>
      <w:r>
        <w:instrText xml:space="preserve"> PAGEREF _Toc29599 \h </w:instrText>
      </w:r>
      <w:r>
        <w:fldChar w:fldCharType="separate"/>
      </w:r>
      <w:r>
        <w:t>14</w:t>
      </w:r>
      <w:r>
        <w:fldChar w:fldCharType="end"/>
      </w:r>
      <w:r>
        <w:rPr>
          <w:color w:val="000000" w:themeColor="text1"/>
          <w:szCs w:val="30"/>
          <w14:textFill>
            <w14:solidFill>
              <w14:schemeClr w14:val="tx1"/>
            </w14:solidFill>
          </w14:textFill>
        </w:rPr>
        <w:fldChar w:fldCharType="end"/>
      </w:r>
    </w:p>
    <w:p>
      <w:pPr>
        <w:pStyle w:val="13"/>
        <w:tabs>
          <w:tab w:val="right" w:leader="dot" w:pos="8312"/>
          <w:tab w:val="clear" w:pos="8302"/>
        </w:tabs>
      </w:pPr>
      <w:r>
        <w:rPr>
          <w:color w:val="000000" w:themeColor="text1"/>
          <w:szCs w:val="30"/>
          <w14:textFill>
            <w14:solidFill>
              <w14:schemeClr w14:val="tx1"/>
            </w14:solidFill>
          </w14:textFill>
        </w:rPr>
        <w:fldChar w:fldCharType="begin"/>
      </w:r>
      <w:r>
        <w:rPr>
          <w:szCs w:val="30"/>
        </w:rPr>
        <w:instrText xml:space="preserve"> HYPERLINK \l _Toc728 </w:instrText>
      </w:r>
      <w:r>
        <w:rPr>
          <w:szCs w:val="30"/>
        </w:rPr>
        <w:fldChar w:fldCharType="separate"/>
      </w:r>
      <w:r>
        <w:rPr>
          <w:rFonts w:hint="default" w:ascii="Times New Roman" w:hAnsi="Times New Roman" w:eastAsia="宋体"/>
          <w:i w:val="0"/>
          <w:caps w:val="0"/>
          <w:strike w:val="0"/>
          <w:dstrike w:val="0"/>
          <w:vanish w:val="0"/>
          <w:vertAlign w:val="baseline"/>
        </w:rPr>
        <w:t xml:space="preserve">7 </w:t>
      </w:r>
      <w:r>
        <w:rPr>
          <w:rFonts w:hint="eastAsia"/>
          <w:lang w:eastAsia="zh-CN"/>
        </w:rPr>
        <w:t>附件</w:t>
      </w:r>
      <w:r>
        <w:tab/>
      </w:r>
      <w:r>
        <w:fldChar w:fldCharType="begin"/>
      </w:r>
      <w:r>
        <w:instrText xml:space="preserve"> PAGEREF _Toc728 \h </w:instrText>
      </w:r>
      <w:r>
        <w:fldChar w:fldCharType="separate"/>
      </w:r>
      <w:r>
        <w:t>15</w:t>
      </w:r>
      <w:r>
        <w:fldChar w:fldCharType="end"/>
      </w:r>
      <w:r>
        <w:rPr>
          <w:color w:val="000000" w:themeColor="text1"/>
          <w:szCs w:val="30"/>
          <w14:textFill>
            <w14:solidFill>
              <w14:schemeClr w14:val="tx1"/>
            </w14:solidFill>
          </w14:textFill>
        </w:rPr>
        <w:fldChar w:fldCharType="end"/>
      </w:r>
    </w:p>
    <w:p>
      <w:pPr>
        <w:ind w:firstLine="0" w:firstLineChars="0"/>
        <w:jc w:val="center"/>
        <w:rPr>
          <w:color w:val="000000" w:themeColor="text1"/>
          <w14:textFill>
            <w14:solidFill>
              <w14:schemeClr w14:val="tx1"/>
            </w14:solidFill>
          </w14:textFill>
        </w:rPr>
        <w:sectPr>
          <w:type w:val="continuous"/>
          <w:pgSz w:w="11906" w:h="16838"/>
          <w:pgMar w:top="1418" w:right="1797" w:bottom="1418" w:left="1797" w:header="851" w:footer="992" w:gutter="0"/>
          <w:cols w:space="425" w:num="1"/>
          <w:docGrid w:type="lines" w:linePitch="312" w:charSpace="0"/>
        </w:sectPr>
      </w:pPr>
      <w:r>
        <w:rPr>
          <w:color w:val="000000" w:themeColor="text1"/>
          <w:szCs w:val="30"/>
          <w14:textFill>
            <w14:solidFill>
              <w14:schemeClr w14:val="tx1"/>
            </w14:solidFill>
          </w14:textFill>
        </w:rPr>
        <w:fldChar w:fldCharType="end"/>
      </w:r>
    </w:p>
    <w:p>
      <w:pPr>
        <w:pStyle w:val="2"/>
        <w:rPr>
          <w:color w:val="000000" w:themeColor="text1"/>
          <w14:textFill>
            <w14:solidFill>
              <w14:schemeClr w14:val="tx1"/>
            </w14:solidFill>
          </w14:textFill>
        </w:rPr>
      </w:pPr>
      <w:bookmarkStart w:id="0" w:name="_Toc19037"/>
      <w:r>
        <w:rPr>
          <w:rFonts w:hint="eastAsia"/>
          <w:color w:val="000000" w:themeColor="text1"/>
          <w14:textFill>
            <w14:solidFill>
              <w14:schemeClr w14:val="tx1"/>
            </w14:solidFill>
          </w14:textFill>
        </w:rPr>
        <w:t>概述</w:t>
      </w:r>
      <w:bookmarkEnd w:id="0"/>
    </w:p>
    <w:p>
      <w:pPr>
        <w:wordWrap/>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根据《环境影响评价公众参与办法》（生态环境部令第</w:t>
      </w:r>
      <w:r>
        <w:rPr>
          <w:rFonts w:cs="Times New Roman"/>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号）（以下简称《办法》）有关规定，为规范环境影响评价公众参与，保障公众环境保护知情权、参与权、表达权和监督权，贵港港中心港区东山作业区5号至7号泊位工程（以下简称“本项目”）应进行环境影响评价公众参与工作。</w:t>
      </w:r>
    </w:p>
    <w:p>
      <w:pPr>
        <w:wordWrap/>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中心港区位于贵港市港北区，贵港地处华南经济圈、西南经济圈和东盟经济圈三圈的交汇点，拥有承东启西，面向粤港澳，背靠大西南，南连北部湾，通达东南亚的区位战略优势，是桂东南地区交通枢纽，大西南出海通道的重要门户，也是西江经济走廊新兴的重要中心城市。贵港港是国家对外开放一类口岸、全国主要内河港口、华南地区内河第一大港。</w:t>
      </w:r>
    </w:p>
    <w:p>
      <w:pPr>
        <w:wordWrap/>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“发挥广西与东盟国家陆海相邻的独特优势，加快广西北部湾经济区和珠江—西江经济带开放开发，构建面向东盟的国际大通道，打造西南中南地区开放发展新的战略支点，形成 21 世纪海上丝绸之路与丝绸之路经济带有机衔接的重要门户”是党中央习近平总书记赋予广西的新使命。</w:t>
      </w:r>
    </w:p>
    <w:p>
      <w:pPr>
        <w:wordWrap/>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本项目位于西江黄金水道重要位置，是水路、公路、铁路和航空立体交通网络体系的节点枢纽，具有优越的地理位置和巨大的区位优势，也是中心港区多式联运物流基地的重要节点工程。</w:t>
      </w:r>
    </w:p>
    <w:p>
      <w:pPr>
        <w:wordWrap/>
        <w:adjustRightInd w:val="0"/>
        <w:snapToGrid w:val="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本项目建成后能满足年吞吐量420万吨货物的要求，充分发挥贵港与粤港澳大湾区的连通作用，为贵港市及周边地区经济发展和临港工业开发服务。</w:t>
      </w:r>
    </w:p>
    <w:p>
      <w:pPr>
        <w:wordWrap/>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众参与是建设项目与公众之间进行的双向交流，其目的是让公众了解本项目情况，可使公众充分表达他们的意见。通过公众参与，辨析公众关注的问题，有利于化解不同矛盾，制定合理的环保措施，使项目环境影响评价更具科学性、可行性。</w:t>
      </w:r>
    </w:p>
    <w:p>
      <w:pPr>
        <w:wordWrap/>
        <w:adjustRightInd w:val="0"/>
        <w:snapToGrid w:val="0"/>
        <w:ind w:firstLine="482"/>
        <w:rPr>
          <w:color w:val="000000" w:themeColor="text1"/>
          <w14:textFill>
            <w14:solidFill>
              <w14:schemeClr w14:val="tx1"/>
            </w14:solidFill>
          </w14:textFill>
        </w:rPr>
        <w:sectPr>
          <w:footerReference r:id="rId11" w:type="default"/>
          <w:pgSz w:w="11906" w:h="16838"/>
          <w:pgMar w:top="1418" w:right="1797" w:bottom="1418" w:left="1797" w:header="851" w:footer="992" w:gutter="0"/>
          <w:pgNumType w:start="1"/>
          <w:cols w:space="425" w:num="1"/>
          <w:docGrid w:type="lines" w:linePitch="312" w:charSpace="0"/>
        </w:sectPr>
      </w:pPr>
    </w:p>
    <w:p>
      <w:pPr>
        <w:pStyle w:val="2"/>
        <w:rPr>
          <w:color w:val="000000" w:themeColor="text1"/>
          <w14:textFill>
            <w14:solidFill>
              <w14:schemeClr w14:val="tx1"/>
            </w14:solidFill>
          </w14:textFill>
        </w:rPr>
      </w:pPr>
      <w:bookmarkStart w:id="1" w:name="_Toc9544"/>
      <w:r>
        <w:rPr>
          <w:rFonts w:hint="eastAsia"/>
          <w:color w:val="000000" w:themeColor="text1"/>
          <w14:textFill>
            <w14:solidFill>
              <w14:schemeClr w14:val="tx1"/>
            </w14:solidFill>
          </w14:textFill>
        </w:rPr>
        <w:t>首次环境影响评价信息公开情况</w:t>
      </w:r>
      <w:bookmarkEnd w:id="1"/>
    </w:p>
    <w:p>
      <w:pPr>
        <w:pStyle w:val="3"/>
        <w:rPr>
          <w:color w:val="000000" w:themeColor="text1"/>
          <w14:textFill>
            <w14:solidFill>
              <w14:schemeClr w14:val="tx1"/>
            </w14:solidFill>
          </w14:textFill>
        </w:rPr>
      </w:pPr>
      <w:bookmarkStart w:id="2" w:name="_Toc29988"/>
      <w:r>
        <w:rPr>
          <w:rFonts w:hint="eastAsia"/>
          <w:color w:val="000000" w:themeColor="text1"/>
          <w14:textFill>
            <w14:solidFill>
              <w14:schemeClr w14:val="tx1"/>
            </w14:solidFill>
          </w14:textFill>
        </w:rPr>
        <w:t>公开内容及日期</w:t>
      </w:r>
      <w:bookmarkEnd w:id="2"/>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1、公开情况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贵港市东山港港务有限公司于</w:t>
      </w:r>
      <w:r>
        <w:rPr>
          <w:rFonts w:hint="eastAsia"/>
          <w:color w:val="000000" w:themeColor="text1"/>
          <w:lang w:val="en-US" w:eastAsia="zh-CN"/>
          <w14:textFill>
            <w14:solidFill>
              <w14:schemeClr w14:val="tx1"/>
            </w14:solidFill>
          </w14:textFill>
        </w:rPr>
        <w:t>2023</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14</w:t>
      </w:r>
      <w:r>
        <w:rPr>
          <w:rFonts w:hint="eastAsia"/>
          <w:color w:val="000000" w:themeColor="text1"/>
          <w14:textFill>
            <w14:solidFill>
              <w14:schemeClr w14:val="tx1"/>
            </w14:solidFill>
          </w14:textFill>
        </w:rPr>
        <w:t>日进行了</w:t>
      </w:r>
      <w:r>
        <w:rPr>
          <w:rFonts w:hint="eastAsia"/>
          <w:color w:val="000000" w:themeColor="text1"/>
          <w:lang w:eastAsia="zh-CN"/>
          <w14:textFill>
            <w14:solidFill>
              <w14:schemeClr w14:val="tx1"/>
            </w14:solidFill>
          </w14:textFill>
        </w:rPr>
        <w:t>贵港港中心港区东山作业区5号至7号泊位工程</w:t>
      </w:r>
      <w:r>
        <w:rPr>
          <w:rFonts w:hint="eastAsia"/>
          <w:color w:val="000000" w:themeColor="text1"/>
          <w14:textFill>
            <w14:solidFill>
              <w14:schemeClr w14:val="tx1"/>
            </w14:solidFill>
          </w14:textFill>
        </w:rPr>
        <w:t>环境影响评价第一次公示。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公开的内容为：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（一）建设项目的名称及概要，（二）项目建设单位和联系方式，（三）环境影响报告书编制单位和联系方式，（四）公众提出意见的主要方式和途径，（五）公众意见表的网络链接。</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2、与《办法》的相符性分析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《环境影响评价公众参与办法》（生态环境部令第</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号）第九条规定：“建设单位应当在确定了环境影响报告书编制单位后7个工作日内，公开下列信息：（一）建设项目名称、选址选线、建设内容等基本情况，改建、扩建、迁建项目应说明现有工程及环境保护情况，（二）建设单位的名称和联系方式，（三）环境影响报告书编制单位的名称，（四）公众意见表的网络链接，（五）提交公众意见表的方式和途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对比分析，本项目的首次环境影响评价信息公开内容及日期符合《办法》的规定。</w:t>
      </w:r>
    </w:p>
    <w:p>
      <w:pPr>
        <w:pStyle w:val="3"/>
        <w:rPr>
          <w:color w:val="000000" w:themeColor="text1"/>
          <w14:textFill>
            <w14:solidFill>
              <w14:schemeClr w14:val="tx1"/>
            </w14:solidFill>
          </w14:textFill>
        </w:rPr>
      </w:pPr>
      <w:bookmarkStart w:id="3" w:name="_Toc16805"/>
      <w:r>
        <w:rPr>
          <w:rFonts w:hint="eastAsia"/>
          <w:color w:val="000000" w:themeColor="text1"/>
          <w14:textFill>
            <w14:solidFill>
              <w14:schemeClr w14:val="tx1"/>
            </w14:solidFill>
          </w14:textFill>
        </w:rPr>
        <w:t>公开方式</w:t>
      </w:r>
      <w:bookmarkEnd w:id="3"/>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网络</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1、网络公开情况</w:t>
      </w:r>
    </w:p>
    <w:p>
      <w:pPr>
        <w:ind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贵港市东山港港务有限公司</w:t>
      </w:r>
      <w:r>
        <w:rPr>
          <w:rFonts w:hint="eastAsia"/>
          <w:color w:val="000000" w:themeColor="text1"/>
          <w14:textFill>
            <w14:solidFill>
              <w14:schemeClr w14:val="tx1"/>
            </w14:solidFill>
          </w14:textFill>
        </w:rPr>
        <w:t>于</w:t>
      </w:r>
      <w:r>
        <w:rPr>
          <w:rFonts w:hint="eastAsia"/>
          <w:color w:val="000000" w:themeColor="text1"/>
          <w:lang w:val="en-US" w:eastAsia="zh-CN"/>
          <w14:textFill>
            <w14:solidFill>
              <w14:schemeClr w14:val="tx1"/>
            </w14:solidFill>
          </w14:textFill>
        </w:rPr>
        <w:t>2023</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14</w:t>
      </w:r>
      <w:r>
        <w:rPr>
          <w:rFonts w:hint="eastAsia"/>
          <w:color w:val="000000" w:themeColor="text1"/>
          <w14:textFill>
            <w14:solidFill>
              <w14:schemeClr w14:val="tx1"/>
            </w14:solidFill>
          </w14:textFill>
        </w:rPr>
        <w:t>日在</w:t>
      </w:r>
      <w:r>
        <w:rPr>
          <w:rFonts w:hint="eastAsia"/>
          <w:color w:val="000000" w:themeColor="text1"/>
          <w:lang w:eastAsia="zh-CN"/>
          <w14:textFill>
            <w14:solidFill>
              <w14:schemeClr w14:val="tx1"/>
            </w14:solidFill>
          </w14:textFill>
        </w:rPr>
        <w:t>广西水运工程数据服务平台</w:t>
      </w:r>
      <w:r>
        <w:rPr>
          <w:rFonts w:hint="eastAsia"/>
          <w:color w:val="000000" w:themeColor="text1"/>
          <w14:textFill>
            <w14:solidFill>
              <w14:schemeClr w14:val="tx1"/>
            </w14:solidFill>
          </w14:textFill>
        </w:rPr>
        <w:t>（http://www.gxsy114.com/inDetails.html?id=5089）进行了</w:t>
      </w:r>
      <w:r>
        <w:rPr>
          <w:rFonts w:hint="eastAsia"/>
          <w:color w:val="000000" w:themeColor="text1"/>
          <w:lang w:eastAsia="zh-CN"/>
          <w14:textFill>
            <w14:solidFill>
              <w14:schemeClr w14:val="tx1"/>
            </w14:solidFill>
          </w14:textFill>
        </w:rPr>
        <w:t>贵港港中心港区东山作业区5号至7号泊位工程</w:t>
      </w:r>
      <w:r>
        <w:rPr>
          <w:rFonts w:hint="eastAsia"/>
          <w:color w:val="000000" w:themeColor="text1"/>
          <w14:textFill>
            <w14:solidFill>
              <w14:schemeClr w14:val="tx1"/>
            </w14:solidFill>
          </w14:textFill>
        </w:rPr>
        <w:t>环境影响评价第一次公示，公开信息截图见图1。</w:t>
      </w:r>
    </w:p>
    <w:p>
      <w:pPr>
        <w:keepNext w:val="0"/>
        <w:keepLines w:val="0"/>
        <w:pageBreakBefore w:val="0"/>
        <w:widowControl w:val="0"/>
        <w:kinsoku/>
        <w:wordWrap w:val="0"/>
        <w:overflowPunct w:val="0"/>
        <w:topLinePunct w:val="0"/>
        <w:autoSpaceDE/>
        <w:autoSpaceDN/>
        <w:bidi w:val="0"/>
        <w:adjustRightInd/>
        <w:snapToGrid/>
        <w:ind w:firstLine="0" w:firstLineChars="0"/>
        <w:textAlignment w:val="auto"/>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73675" cy="4783455"/>
            <wp:effectExtent l="0" t="0" r="3175"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73675" cy="4783455"/>
                    </a:xfrm>
                    <a:prstGeom prst="rect">
                      <a:avLst/>
                    </a:prstGeom>
                    <a:noFill/>
                    <a:ln>
                      <a:noFill/>
                    </a:ln>
                  </pic:spPr>
                </pic:pic>
              </a:graphicData>
            </a:graphic>
          </wp:inline>
        </w:drawing>
      </w:r>
    </w:p>
    <w:p>
      <w:pPr>
        <w:pStyle w:val="23"/>
        <w:rPr>
          <w:color w:val="000000" w:themeColor="text1"/>
          <w14:textFill>
            <w14:solidFill>
              <w14:schemeClr w14:val="tx1"/>
            </w14:solidFill>
          </w14:textFill>
        </w:rPr>
      </w:pPr>
      <w:r>
        <w:rPr>
          <w:rFonts w:hint="eastAsia"/>
          <w:color w:val="000000" w:themeColor="text1"/>
          <w14:textFill>
            <w14:solidFill>
              <w14:schemeClr w14:val="tx1"/>
            </w14:solidFill>
          </w14:textFill>
        </w:rPr>
        <w:t>本项目第一次环境影响评价信息网上公开截图</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2、载体选取的符合性分析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《环境影响评价公众参与办法》（生态环境部令第</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号）第九条规定：“建设单位应通过其网站、建设项目所在地公共媒体网站或者建设项目所在地相关政府网站（以下统称网络平台）”公开项目的首次环境影响评价信息。</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本项目首次环境影响评价信息公开采用网络公式的方式，公开网站为建设项目的建设单位网站，符合《办法》的要求。</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公众意见情况</w:t>
      </w:r>
    </w:p>
    <w:p>
      <w:pPr>
        <w:ind w:firstLine="480"/>
        <w:rPr>
          <w:color w:val="000000" w:themeColor="text1"/>
          <w14:textFill>
            <w14:solidFill>
              <w14:schemeClr w14:val="tx1"/>
            </w14:solidFill>
          </w14:textFill>
        </w:rPr>
        <w:sectPr>
          <w:pgSz w:w="11906" w:h="16838"/>
          <w:pgMar w:top="1418" w:right="1797" w:bottom="1418" w:left="1797" w:header="851" w:footer="992" w:gutter="0"/>
          <w:cols w:space="425" w:num="1"/>
          <w:docGrid w:type="lines" w:linePitch="312" w:charSpace="0"/>
        </w:sectPr>
      </w:pPr>
      <w:r>
        <w:rPr>
          <w:rFonts w:hint="eastAsia"/>
          <w:color w:val="000000" w:themeColor="text1"/>
          <w14:textFill>
            <w14:solidFill>
              <w14:schemeClr w14:val="tx1"/>
            </w14:solidFill>
          </w14:textFill>
        </w:rPr>
        <w:t>本项目的首次环境影响评价信息公开期间，我单位及环境影响报告书编制单位均未收到公众提出的相关意见。</w:t>
      </w:r>
    </w:p>
    <w:p>
      <w:pPr>
        <w:pStyle w:val="2"/>
        <w:rPr>
          <w:color w:val="auto"/>
        </w:rPr>
      </w:pPr>
      <w:bookmarkStart w:id="4" w:name="_Toc19990"/>
      <w:r>
        <w:rPr>
          <w:rFonts w:hint="eastAsia"/>
          <w:color w:val="auto"/>
        </w:rPr>
        <w:t>征求意见稿公示情况</w:t>
      </w:r>
      <w:bookmarkEnd w:id="4"/>
    </w:p>
    <w:p>
      <w:pPr>
        <w:pStyle w:val="3"/>
        <w:rPr>
          <w:color w:val="auto"/>
        </w:rPr>
      </w:pPr>
      <w:bookmarkStart w:id="5" w:name="_Toc8278"/>
      <w:r>
        <w:rPr>
          <w:rFonts w:hint="eastAsia"/>
          <w:color w:val="auto"/>
        </w:rPr>
        <w:t>公示内容及时限</w:t>
      </w:r>
      <w:bookmarkEnd w:id="5"/>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1、公示情况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征求意见稿完成后</w:t>
      </w:r>
      <w:r>
        <w:rPr>
          <w:rFonts w:hint="eastAsia"/>
          <w:color w:val="000000" w:themeColor="text1"/>
          <w:lang w:eastAsia="zh-CN"/>
          <w14:textFill>
            <w14:solidFill>
              <w14:schemeClr w14:val="tx1"/>
            </w14:solidFill>
          </w14:textFill>
        </w:rPr>
        <w:t>贵港市东山港港务有限公司</w:t>
      </w:r>
      <w:r>
        <w:rPr>
          <w:rFonts w:hint="eastAsia"/>
          <w:color w:val="auto"/>
        </w:rPr>
        <w:t>于</w:t>
      </w:r>
      <w:r>
        <w:rPr>
          <w:rFonts w:hint="eastAsia"/>
          <w:color w:val="auto"/>
          <w:lang w:val="en-US" w:eastAsia="zh-CN"/>
        </w:rPr>
        <w:t>2023</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28</w:t>
      </w:r>
      <w:r>
        <w:rPr>
          <w:rFonts w:hint="eastAsia"/>
          <w:color w:val="auto"/>
        </w:rPr>
        <w:t>日进行了本项目的环境影响报告书征求意见稿的网络公示，公示期限为10个工作日；于2</w:t>
      </w:r>
      <w:r>
        <w:rPr>
          <w:rFonts w:hint="eastAsia"/>
          <w:color w:val="auto"/>
          <w:lang w:val="en-US" w:eastAsia="zh-CN"/>
        </w:rPr>
        <w:t>023</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7</w:t>
      </w:r>
      <w:r>
        <w:rPr>
          <w:rFonts w:hint="eastAsia"/>
          <w:color w:val="auto"/>
        </w:rPr>
        <w:t>日和</w:t>
      </w:r>
      <w:r>
        <w:rPr>
          <w:rFonts w:hint="eastAsia"/>
          <w:color w:val="auto"/>
          <w:lang w:val="en-US" w:eastAsia="zh-CN"/>
        </w:rPr>
        <w:t>2023</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8</w:t>
      </w:r>
      <w:r>
        <w:rPr>
          <w:rFonts w:hint="eastAsia"/>
          <w:color w:val="auto"/>
        </w:rPr>
        <w:t>日分两次在广西日报上公示了本项目的环境</w:t>
      </w:r>
      <w:r>
        <w:rPr>
          <w:rFonts w:hint="eastAsia"/>
          <w:color w:val="000000" w:themeColor="text1"/>
          <w14:textFill>
            <w14:solidFill>
              <w14:schemeClr w14:val="tx1"/>
            </w14:solidFill>
          </w14:textFill>
        </w:rPr>
        <w:t>影响报告书征求意见稿，登报公示日期均在网络公示期限内；于2021年</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日在项目沿线村委、社区现场张贴公告公开了本项目的环境影响报告书征求意见稿的信息，持续公开期限为10个工作日。公示的的内容均为：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（一）环境影响报告书征求意见稿的网络链接，（二）查阅纸质报告书的方式和途径，（三）征求意见的公众范围，（四）公众意见表的网络链接，（五）公众提出意见的方式和途径。</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2、与《办法》的符合性分析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《环境影响评价公众参与办法》（生态环境部令第</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号）第十条规定：“建设项目环境影响报告书征求意见稿形成后，建设单位应当公开下列信息，征求与该建设项目环境影响有关的意见：（一）环境影响报告书征求意见稿全文的网络链接及查阅纸质报告书的方式和途径，（二）征求意见的公众范围，（三）公众意见表的网络链接，（四）公众提出意见的起止时间。建设单位征求公众意见的期限不得少于10个工作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对比分析，建设单位公开本项目环境影响报告书征求意见稿的内容及期限符合《办法》的要求。</w:t>
      </w:r>
    </w:p>
    <w:p>
      <w:pPr>
        <w:pStyle w:val="3"/>
        <w:rPr>
          <w:color w:val="000000" w:themeColor="text1"/>
          <w14:textFill>
            <w14:solidFill>
              <w14:schemeClr w14:val="tx1"/>
            </w14:solidFill>
          </w14:textFill>
        </w:rPr>
      </w:pPr>
      <w:bookmarkStart w:id="6" w:name="_Toc6798"/>
      <w:r>
        <w:rPr>
          <w:rFonts w:hint="eastAsia"/>
          <w:color w:val="000000" w:themeColor="text1"/>
          <w14:textFill>
            <w14:solidFill>
              <w14:schemeClr w14:val="tx1"/>
            </w14:solidFill>
          </w14:textFill>
        </w:rPr>
        <w:t>公示方式</w:t>
      </w:r>
      <w:bookmarkEnd w:id="6"/>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网络</w:t>
      </w:r>
    </w:p>
    <w:p>
      <w:pPr>
        <w:ind w:firstLine="482"/>
        <w:rPr>
          <w:b/>
          <w:color w:val="auto"/>
        </w:rPr>
      </w:pPr>
      <w:r>
        <w:rPr>
          <w:rFonts w:hint="eastAsia"/>
          <w:b/>
          <w:color w:val="auto"/>
        </w:rPr>
        <w:t>1、网络公开情况</w:t>
      </w:r>
    </w:p>
    <w:p>
      <w:pPr>
        <w:ind w:firstLine="480" w:firstLineChars="200"/>
        <w:rPr>
          <w:rFonts w:hint="eastAsia"/>
          <w:color w:val="auto"/>
        </w:rPr>
      </w:pPr>
      <w:r>
        <w:rPr>
          <w:rFonts w:hint="eastAsia"/>
          <w:color w:val="auto"/>
          <w:lang w:eastAsia="zh-CN"/>
        </w:rPr>
        <w:t>贵港市东山港港务有限公司</w:t>
      </w:r>
      <w:r>
        <w:rPr>
          <w:rFonts w:hint="eastAsia"/>
          <w:color w:val="auto"/>
        </w:rPr>
        <w:t>于</w:t>
      </w:r>
      <w:r>
        <w:rPr>
          <w:rFonts w:hint="eastAsia"/>
          <w:color w:val="auto"/>
          <w:lang w:val="en-US" w:eastAsia="zh-CN"/>
        </w:rPr>
        <w:t>2023</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28</w:t>
      </w:r>
      <w:r>
        <w:rPr>
          <w:rFonts w:hint="eastAsia"/>
          <w:color w:val="auto"/>
        </w:rPr>
        <w:t>日在</w:t>
      </w:r>
      <w:r>
        <w:rPr>
          <w:rFonts w:hint="eastAsia"/>
          <w:color w:val="auto"/>
          <w:lang w:eastAsia="zh-CN"/>
        </w:rPr>
        <w:t>广西苏源环保科技有限公司</w:t>
      </w:r>
      <w:r>
        <w:rPr>
          <w:rFonts w:hint="eastAsia"/>
          <w:color w:val="auto"/>
        </w:rPr>
        <w:t>（</w:t>
      </w:r>
      <w:r>
        <w:rPr>
          <w:color w:val="auto"/>
        </w:rPr>
        <w:t>http://www.gxsyhb.com/news/36.html</w:t>
      </w:r>
      <w:r>
        <w:rPr>
          <w:rFonts w:hint="eastAsia"/>
          <w:color w:val="auto"/>
        </w:rPr>
        <w:t>）上公示了本项目的环境影响报告书征求意见稿，公示信息截图见图</w:t>
      </w:r>
      <w:r>
        <w:rPr>
          <w:color w:val="auto"/>
        </w:rPr>
        <w:t>2</w:t>
      </w:r>
      <w:r>
        <w:rPr>
          <w:rFonts w:hint="eastAsia"/>
          <w:color w:val="auto"/>
        </w:rPr>
        <w:t>。</w:t>
      </w:r>
    </w:p>
    <w:p>
      <w:pPr>
        <w:keepNext w:val="0"/>
        <w:keepLines w:val="0"/>
        <w:pageBreakBefore w:val="0"/>
        <w:widowControl w:val="0"/>
        <w:kinsoku/>
        <w:wordWrap w:val="0"/>
        <w:overflowPunct w:val="0"/>
        <w:topLinePunct w:val="0"/>
        <w:autoSpaceDE/>
        <w:autoSpaceDN/>
        <w:bidi w:val="0"/>
        <w:adjustRightInd/>
        <w:snapToGrid/>
        <w:ind w:firstLine="0" w:firstLineChars="0"/>
        <w:textAlignment w:val="auto"/>
        <w:rPr>
          <w:rFonts w:hint="eastAsia"/>
          <w:color w:val="0000FF"/>
        </w:rPr>
      </w:pPr>
    </w:p>
    <w:p>
      <w:pPr>
        <w:pStyle w:val="23"/>
        <w:rPr>
          <w:color w:val="0000FF"/>
        </w:rPr>
      </w:pPr>
      <w:r>
        <w:rPr>
          <w:rFonts w:hint="eastAsia"/>
          <w:color w:val="0000FF"/>
        </w:rPr>
        <w:t>本项目环境影响报告书征求意见稿网上公示截图</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2、载体选取的符合性分析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《环境影响评价公众参与办法》（生态环境部令第</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号）第十一条规定，建设单位应当通过下列方式公开本项目环境影响报告书征求意见稿：“（一）通过网络平台公开”。</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本项目的环境影响报告书征求意见稿的公示网站为广西百色隆林各族自治县人民政府门户网站，符合网络载体的选取要求。</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报纸</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1、登报情况</w:t>
      </w:r>
    </w:p>
    <w:p>
      <w:pPr>
        <w:ind w:firstLine="480"/>
        <w:rPr>
          <w:rFonts w:hint="eastAsia"/>
          <w:color w:val="auto"/>
        </w:rPr>
      </w:pPr>
      <w:r>
        <w:rPr>
          <w:rFonts w:hint="eastAsia"/>
          <w:color w:val="auto"/>
          <w:lang w:eastAsia="zh-CN"/>
        </w:rPr>
        <w:t>贵港市东山港港务有限公司</w:t>
      </w:r>
      <w:r>
        <w:rPr>
          <w:rFonts w:hint="eastAsia"/>
          <w:color w:val="auto"/>
        </w:rPr>
        <w:t>2</w:t>
      </w:r>
      <w:r>
        <w:rPr>
          <w:rFonts w:hint="eastAsia"/>
          <w:color w:val="auto"/>
          <w:lang w:val="en-US" w:eastAsia="zh-CN"/>
        </w:rPr>
        <w:t>023</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7</w:t>
      </w:r>
      <w:r>
        <w:rPr>
          <w:rFonts w:hint="eastAsia"/>
          <w:color w:val="auto"/>
        </w:rPr>
        <w:t>日和</w:t>
      </w:r>
      <w:r>
        <w:rPr>
          <w:rFonts w:hint="eastAsia"/>
          <w:color w:val="auto"/>
          <w:lang w:val="en-US" w:eastAsia="zh-CN"/>
        </w:rPr>
        <w:t>2023</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8</w:t>
      </w:r>
      <w:r>
        <w:rPr>
          <w:rFonts w:hint="eastAsia"/>
          <w:color w:val="auto"/>
        </w:rPr>
        <w:t>日分两次在广西日报</w:t>
      </w:r>
      <w:r>
        <w:rPr>
          <w:rFonts w:hint="eastAsia"/>
          <w:color w:val="auto"/>
          <w:lang w:eastAsia="zh-CN"/>
        </w:rPr>
        <w:t>上公示</w:t>
      </w:r>
      <w:r>
        <w:rPr>
          <w:rFonts w:hint="eastAsia"/>
          <w:color w:val="auto"/>
        </w:rPr>
        <w:t>了本项目的环境影响报告书征求意见稿的相关信息，登报公示照片见图</w:t>
      </w:r>
      <w:r>
        <w:rPr>
          <w:color w:val="auto"/>
        </w:rPr>
        <w:t>3</w:t>
      </w:r>
      <w:r>
        <w:rPr>
          <w:rFonts w:hint="eastAsia"/>
          <w:color w:val="auto"/>
        </w:rPr>
        <w:t>、图</w:t>
      </w:r>
      <w:r>
        <w:rPr>
          <w:color w:val="auto"/>
        </w:rPr>
        <w:t>4</w:t>
      </w:r>
      <w:r>
        <w:rPr>
          <w:rFonts w:hint="eastAsia"/>
          <w:color w:val="auto"/>
        </w:rPr>
        <w:t>。</w:t>
      </w:r>
    </w:p>
    <w:p>
      <w:pPr>
        <w:ind w:firstLine="480"/>
        <w:rPr>
          <w:rFonts w:hint="eastAsia" w:eastAsia="宋体"/>
          <w:color w:val="auto"/>
          <w:lang w:eastAsia="zh-CN"/>
        </w:rPr>
      </w:pPr>
      <w:r>
        <w:rPr>
          <w:rFonts w:hint="eastAsia" w:eastAsia="宋体"/>
          <w:color w:val="auto"/>
          <w:lang w:eastAsia="zh-CN"/>
        </w:rPr>
        <w:drawing>
          <wp:inline distT="0" distB="0" distL="114300" distR="114300">
            <wp:extent cx="5090160" cy="4384675"/>
            <wp:effectExtent l="0" t="0" r="15875" b="15240"/>
            <wp:docPr id="6" name="图片 6" descr="11d56ee6a71b9fcfc4d0755f2d5f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d56ee6a71b9fcfc4d0755f2d5f09c"/>
                    <pic:cNvPicPr>
                      <a:picLocks noChangeAspect="1"/>
                    </pic:cNvPicPr>
                  </pic:nvPicPr>
                  <pic:blipFill>
                    <a:blip r:embed="rId14"/>
                    <a:srcRect l="29416" r="5487" b="324"/>
                    <a:stretch>
                      <a:fillRect/>
                    </a:stretch>
                  </pic:blipFill>
                  <pic:spPr>
                    <a:xfrm rot="16200000">
                      <a:off x="0" y="0"/>
                      <a:ext cx="5090160" cy="4384675"/>
                    </a:xfrm>
                    <a:prstGeom prst="rect">
                      <a:avLst/>
                    </a:prstGeom>
                  </pic:spPr>
                </pic:pic>
              </a:graphicData>
            </a:graphic>
          </wp:inline>
        </w:drawing>
      </w:r>
    </w:p>
    <w:p>
      <w:pPr>
        <w:pStyle w:val="23"/>
        <w:rPr>
          <w:color w:val="auto"/>
        </w:rPr>
      </w:pPr>
      <w:r>
        <w:rPr>
          <w:rFonts w:hint="eastAsia"/>
          <w:color w:val="auto"/>
        </w:rPr>
        <w:t>本项目环境影响报告书征求意见稿报纸公示照片（第1次）</w:t>
      </w:r>
    </w:p>
    <w:p>
      <w:pPr>
        <w:pStyle w:val="24"/>
        <w:rPr>
          <w:rFonts w:hint="eastAsia" w:eastAsia="宋体"/>
          <w:color w:val="auto"/>
          <w:lang w:eastAsia="zh-CN"/>
        </w:rPr>
      </w:pPr>
      <w:r>
        <w:rPr>
          <w:rFonts w:hint="eastAsia" w:eastAsia="宋体"/>
          <w:color w:val="auto"/>
          <w:lang w:eastAsia="zh-CN"/>
        </w:rPr>
        <w:drawing>
          <wp:inline distT="0" distB="0" distL="114300" distR="114300">
            <wp:extent cx="4812665" cy="3202305"/>
            <wp:effectExtent l="0" t="0" r="6985" b="17145"/>
            <wp:docPr id="5" name="图片 5" descr="3ef7ee977bdba08ae561a00b60da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ef7ee977bdba08ae561a00b60da384"/>
                    <pic:cNvPicPr>
                      <a:picLocks noChangeAspect="1"/>
                    </pic:cNvPicPr>
                  </pic:nvPicPr>
                  <pic:blipFill>
                    <a:blip r:embed="rId15"/>
                    <a:srcRect t="31315" r="-356" b="31122"/>
                    <a:stretch>
                      <a:fillRect/>
                    </a:stretch>
                  </pic:blipFill>
                  <pic:spPr>
                    <a:xfrm>
                      <a:off x="0" y="0"/>
                      <a:ext cx="4812665" cy="3202305"/>
                    </a:xfrm>
                    <a:prstGeom prst="rect">
                      <a:avLst/>
                    </a:prstGeom>
                  </pic:spPr>
                </pic:pic>
              </a:graphicData>
            </a:graphic>
          </wp:inline>
        </w:drawing>
      </w:r>
    </w:p>
    <w:p>
      <w:pPr>
        <w:pStyle w:val="23"/>
        <w:rPr>
          <w:color w:val="auto"/>
        </w:rPr>
      </w:pPr>
      <w:r>
        <w:rPr>
          <w:rFonts w:hint="eastAsia"/>
          <w:color w:val="auto"/>
        </w:rPr>
        <w:t>本项目环境影响报告书征求意见稿报纸公示照片（第2次）</w:t>
      </w:r>
    </w:p>
    <w:p>
      <w:pPr>
        <w:ind w:firstLine="482"/>
        <w:rPr>
          <w:b/>
          <w:color w:val="auto"/>
        </w:rPr>
      </w:pPr>
      <w:r>
        <w:rPr>
          <w:rFonts w:hint="eastAsia"/>
          <w:b/>
          <w:color w:val="auto"/>
        </w:rPr>
        <w:t>2、载体选取的符合性分析</w:t>
      </w:r>
    </w:p>
    <w:p>
      <w:pPr>
        <w:ind w:firstLine="480"/>
        <w:rPr>
          <w:color w:val="000000" w:themeColor="text1"/>
          <w14:textFill>
            <w14:solidFill>
              <w14:schemeClr w14:val="tx1"/>
            </w14:solidFill>
          </w14:textFill>
        </w:rPr>
      </w:pPr>
      <w:r>
        <w:rPr>
          <w:rFonts w:hint="eastAsia"/>
          <w:color w:val="auto"/>
        </w:rPr>
        <w:t>《环境影响评价公众参与办法》（生态环境部令第</w:t>
      </w:r>
      <w:r>
        <w:rPr>
          <w:color w:val="auto"/>
        </w:rPr>
        <w:t>4</w:t>
      </w:r>
      <w:r>
        <w:rPr>
          <w:rFonts w:hint="eastAsia"/>
          <w:color w:val="auto"/>
        </w:rPr>
        <w:t>号）第十一条规定，建</w:t>
      </w:r>
      <w:r>
        <w:rPr>
          <w:rFonts w:hint="eastAsia"/>
          <w:color w:val="000000" w:themeColor="text1"/>
          <w14:textFill>
            <w14:solidFill>
              <w14:schemeClr w14:val="tx1"/>
            </w14:solidFill>
          </w14:textFill>
        </w:rPr>
        <w:t>设单位应当通过下列方式公开本项目环境影响报告书征求意见稿：“（二）通过建设项目所在地公众易于接触的报纸公开”。</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本次选取的《广西日报》为广西壮族自治区第一大型综合性日报，创刊已有55年之久，国内外均公开发行，是本项目所在地公众易于接触的报纸，符合《办法》对报纸载体的选取要求。</w:t>
      </w:r>
    </w:p>
    <w:p>
      <w:pPr>
        <w:pStyle w:val="4"/>
        <w:rPr>
          <w:color w:val="0000FF"/>
        </w:rPr>
      </w:pPr>
      <w:r>
        <w:rPr>
          <w:rFonts w:hint="eastAsia"/>
          <w:color w:val="0000FF"/>
        </w:rPr>
        <w:t>张贴</w:t>
      </w:r>
    </w:p>
    <w:p>
      <w:pPr>
        <w:ind w:firstLine="482"/>
        <w:rPr>
          <w:b/>
          <w:color w:val="0000FF"/>
        </w:rPr>
      </w:pPr>
      <w:r>
        <w:rPr>
          <w:rFonts w:hint="eastAsia"/>
          <w:b/>
          <w:color w:val="0000FF"/>
        </w:rPr>
        <w:t xml:space="preserve">1、张贴情况 </w:t>
      </w:r>
    </w:p>
    <w:p>
      <w:pPr>
        <w:ind w:firstLine="480"/>
        <w:rPr>
          <w:color w:val="auto"/>
        </w:rPr>
        <w:sectPr>
          <w:pgSz w:w="11906" w:h="16838"/>
          <w:pgMar w:top="1418" w:right="1797" w:bottom="1418" w:left="1797" w:header="851" w:footer="992" w:gutter="0"/>
          <w:cols w:space="425" w:num="1"/>
          <w:docGrid w:type="lines" w:linePitch="312" w:charSpace="0"/>
        </w:sectPr>
      </w:pPr>
      <w:r>
        <w:rPr>
          <w:rFonts w:hint="eastAsia"/>
          <w:color w:val="auto"/>
          <w:lang w:eastAsia="zh-CN"/>
        </w:rPr>
        <w:t>贵港市东山港港务有限公司</w:t>
      </w:r>
      <w:r>
        <w:rPr>
          <w:rFonts w:hint="eastAsia"/>
          <w:color w:val="auto"/>
        </w:rPr>
        <w:t>于征求意见稿公示期间（</w:t>
      </w:r>
      <w:r>
        <w:rPr>
          <w:rFonts w:hint="eastAsia"/>
          <w:color w:val="auto"/>
          <w:lang w:val="en-US" w:eastAsia="zh-CN"/>
        </w:rPr>
        <w:t>2023</w:t>
      </w:r>
      <w:r>
        <w:rPr>
          <w:rFonts w:hint="eastAsia"/>
          <w:color w:val="auto"/>
        </w:rPr>
        <w:t>年</w:t>
      </w:r>
      <w:r>
        <w:rPr>
          <w:rFonts w:hint="eastAsia"/>
          <w:color w:val="auto"/>
          <w:lang w:val="en-US" w:eastAsia="zh-CN"/>
        </w:rPr>
        <w:t>10</w:t>
      </w:r>
      <w:r>
        <w:rPr>
          <w:rFonts w:hint="eastAsia"/>
          <w:color w:val="auto"/>
        </w:rPr>
        <w:t>月</w:t>
      </w:r>
      <w:r>
        <w:rPr>
          <w:rFonts w:hint="eastAsia"/>
          <w:color w:val="auto"/>
          <w:lang w:val="en-US" w:eastAsia="zh-CN"/>
        </w:rPr>
        <w:t>8</w:t>
      </w:r>
      <w:r>
        <w:rPr>
          <w:rFonts w:hint="eastAsia"/>
          <w:color w:val="auto"/>
        </w:rPr>
        <w:t>日）在本项目所在地的</w:t>
      </w:r>
      <w:r>
        <w:rPr>
          <w:rFonts w:hint="eastAsia"/>
          <w:color w:val="0000FF"/>
          <w:lang w:eastAsia="zh-CN"/>
        </w:rPr>
        <w:t>东山村</w:t>
      </w:r>
      <w:r>
        <w:rPr>
          <w:rFonts w:hint="eastAsia"/>
          <w:color w:val="0000FF"/>
        </w:rPr>
        <w:t>张贴了公告，</w:t>
      </w:r>
      <w:r>
        <w:rPr>
          <w:rFonts w:hint="eastAsia"/>
          <w:color w:val="auto"/>
        </w:rPr>
        <w:t>张贴公告的现场照片见图</w:t>
      </w:r>
      <w:r>
        <w:rPr>
          <w:color w:val="auto"/>
        </w:rPr>
        <w:t>5</w:t>
      </w:r>
      <w:r>
        <w:rPr>
          <w:rFonts w:hint="eastAsia"/>
          <w:color w:val="auto"/>
        </w:rPr>
        <w:t>。</w:t>
      </w:r>
    </w:p>
    <w:tbl>
      <w:tblPr>
        <w:tblStyle w:val="16"/>
        <w:tblpPr w:leftFromText="180" w:rightFromText="180" w:vertAnchor="text" w:tblpXSpec="center" w:tblpY="1"/>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3" w:hRule="exact"/>
        </w:trPr>
        <w:tc>
          <w:tcPr>
            <w:tcW w:w="4264" w:type="dxa"/>
            <w:noWrap/>
            <w:vAlign w:val="center"/>
          </w:tcPr>
          <w:p>
            <w:pPr>
              <w:ind w:firstLine="0" w:firstLineChars="0"/>
              <w:jc w:val="center"/>
              <w:rPr>
                <w:color w:val="0000FF"/>
                <w:sz w:val="21"/>
                <w:szCs w:val="21"/>
              </w:rPr>
            </w:pPr>
            <w:r>
              <w:rPr>
                <w:rFonts w:hint="eastAsia" w:ascii="宋体" w:hAnsi="宋体"/>
                <w:color w:val="0000FF"/>
                <w:spacing w:val="2"/>
                <w:kern w:val="0"/>
                <w:szCs w:val="28"/>
              </w:rPr>
              <w:drawing>
                <wp:inline distT="0" distB="0" distL="0" distR="0">
                  <wp:extent cx="2475865" cy="1854835"/>
                  <wp:effectExtent l="0" t="0" r="635" b="0"/>
                  <wp:docPr id="32" name="图片 32" descr="IMG_20210331_13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10331_1323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5865" cy="1854835"/>
                          </a:xfrm>
                          <a:prstGeom prst="rect">
                            <a:avLst/>
                          </a:prstGeom>
                          <a:noFill/>
                          <a:ln>
                            <a:noFill/>
                          </a:ln>
                        </pic:spPr>
                      </pic:pic>
                    </a:graphicData>
                  </a:graphic>
                </wp:inline>
              </w:drawing>
            </w:r>
          </w:p>
        </w:tc>
        <w:tc>
          <w:tcPr>
            <w:tcW w:w="4264" w:type="dxa"/>
            <w:noWrap/>
            <w:vAlign w:val="center"/>
          </w:tcPr>
          <w:p>
            <w:pPr>
              <w:ind w:firstLine="0" w:firstLineChars="0"/>
              <w:jc w:val="center"/>
              <w:rPr>
                <w:color w:val="0000FF"/>
                <w:sz w:val="21"/>
                <w:szCs w:val="21"/>
              </w:rPr>
            </w:pPr>
            <w:r>
              <w:rPr>
                <w:rFonts w:hint="eastAsia" w:ascii="宋体" w:hAnsi="宋体"/>
                <w:color w:val="0000FF"/>
                <w:spacing w:val="2"/>
                <w:kern w:val="0"/>
                <w:szCs w:val="28"/>
              </w:rPr>
              <w:drawing>
                <wp:inline distT="0" distB="0" distL="0" distR="0">
                  <wp:extent cx="2466975" cy="1845945"/>
                  <wp:effectExtent l="0" t="0" r="9525" b="1905"/>
                  <wp:docPr id="33" name="图片 33" descr="IMG_20210331_14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10331_1424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66975" cy="18459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64" w:type="dxa"/>
            <w:noWrap/>
            <w:vAlign w:val="center"/>
          </w:tcPr>
          <w:p>
            <w:pPr>
              <w:ind w:firstLine="0" w:firstLineChars="0"/>
              <w:jc w:val="center"/>
              <w:rPr>
                <w:color w:val="0000FF"/>
                <w:sz w:val="21"/>
                <w:szCs w:val="21"/>
              </w:rPr>
            </w:pPr>
            <w:r>
              <w:rPr>
                <w:rFonts w:hint="eastAsia"/>
                <w:color w:val="0000FF"/>
                <w:sz w:val="21"/>
                <w:szCs w:val="21"/>
              </w:rPr>
              <w:t>委乐村村委公示</w:t>
            </w:r>
          </w:p>
        </w:tc>
        <w:tc>
          <w:tcPr>
            <w:tcW w:w="4264" w:type="dxa"/>
            <w:noWrap/>
            <w:vAlign w:val="center"/>
          </w:tcPr>
          <w:p>
            <w:pPr>
              <w:ind w:firstLine="0" w:firstLineChars="0"/>
              <w:jc w:val="center"/>
              <w:rPr>
                <w:color w:val="0000FF"/>
                <w:sz w:val="21"/>
                <w:szCs w:val="21"/>
              </w:rPr>
            </w:pPr>
            <w:r>
              <w:rPr>
                <w:rFonts w:hint="eastAsia"/>
                <w:color w:val="0000FF"/>
                <w:sz w:val="21"/>
                <w:szCs w:val="21"/>
              </w:rPr>
              <w:t>委哉村村委公示</w:t>
            </w:r>
          </w:p>
        </w:tc>
      </w:tr>
    </w:tbl>
    <w:p>
      <w:pPr>
        <w:pStyle w:val="23"/>
        <w:rPr>
          <w:color w:val="0000FF"/>
        </w:rPr>
      </w:pPr>
      <w:r>
        <w:rPr>
          <w:rFonts w:hint="eastAsia"/>
          <w:color w:val="0000FF"/>
        </w:rPr>
        <w:t>本项目环境影响报告书征求意见稿现场张贴公告照片</w:t>
      </w:r>
    </w:p>
    <w:p>
      <w:pPr>
        <w:ind w:firstLine="480"/>
        <w:rPr>
          <w:color w:val="0000FF"/>
        </w:rPr>
      </w:pPr>
      <w:bookmarkStart w:id="33" w:name="_GoBack"/>
      <w:bookmarkEnd w:id="33"/>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2、张贴区域选取的符合性分析</w:t>
      </w:r>
    </w:p>
    <w:p>
      <w:pPr>
        <w:ind w:firstLine="480"/>
        <w:rPr>
          <w:color w:val="0000FF"/>
        </w:rPr>
      </w:pPr>
      <w:r>
        <w:rPr>
          <w:rFonts w:hint="eastAsia"/>
          <w:color w:val="000000" w:themeColor="text1"/>
          <w14:textFill>
            <w14:solidFill>
              <w14:schemeClr w14:val="tx1"/>
            </w14:solidFill>
          </w14:textFill>
        </w:rPr>
        <w:t>《环境影响评价公众参与办法》（生态环境部令第</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号）第十一条规定，建设单位应当通过下列方式公开本项目环境影响报告书征求意见稿：“（三）通过建设项目所在地公众易于知悉的场所张贴公告的方式公开”。</w:t>
      </w:r>
    </w:p>
    <w:p>
      <w:pPr>
        <w:ind w:firstLine="480"/>
        <w:rPr>
          <w:color w:val="0000FF"/>
        </w:rPr>
      </w:pPr>
      <w:r>
        <w:rPr>
          <w:rFonts w:hint="eastAsia"/>
          <w:color w:val="0000FF"/>
        </w:rPr>
        <w:t>本次公告张贴选取项目所在地的隆林县平班镇：委乐村、委哉村、岩晚村、平寨村、共和村、扁牙村等区域进行，张贴区域主要为项目沿线村屯所在的村委、社区，公示信息易于在公众中传递，符合《办法》对张贴区域选取的要求。</w:t>
      </w:r>
    </w:p>
    <w:p>
      <w:pPr>
        <w:pStyle w:val="4"/>
        <w:rPr>
          <w:color w:val="0000FF"/>
        </w:rPr>
      </w:pPr>
      <w:r>
        <w:rPr>
          <w:rFonts w:hint="eastAsia"/>
          <w:color w:val="0000FF"/>
        </w:rPr>
        <w:t>其他</w:t>
      </w:r>
    </w:p>
    <w:p>
      <w:pPr>
        <w:ind w:firstLine="480"/>
        <w:rPr>
          <w:color w:val="0000FF"/>
        </w:rPr>
      </w:pPr>
      <w:r>
        <w:rPr>
          <w:rFonts w:hint="eastAsia"/>
          <w:color w:val="0000FF"/>
        </w:rPr>
        <w:t>无。</w:t>
      </w:r>
    </w:p>
    <w:p>
      <w:pPr>
        <w:pStyle w:val="3"/>
        <w:rPr>
          <w:color w:val="auto"/>
        </w:rPr>
      </w:pPr>
      <w:bookmarkStart w:id="7" w:name="_Toc4586"/>
      <w:r>
        <w:rPr>
          <w:rFonts w:hint="eastAsia"/>
          <w:color w:val="auto"/>
        </w:rPr>
        <w:t>查阅情况</w:t>
      </w:r>
      <w:bookmarkEnd w:id="7"/>
    </w:p>
    <w:p>
      <w:pPr>
        <w:ind w:firstLine="482"/>
        <w:rPr>
          <w:b/>
          <w:color w:val="auto"/>
        </w:rPr>
      </w:pPr>
      <w:r>
        <w:rPr>
          <w:rFonts w:hint="eastAsia"/>
          <w:b/>
          <w:color w:val="auto"/>
        </w:rPr>
        <w:t>1、查阅场所</w:t>
      </w:r>
    </w:p>
    <w:p>
      <w:pPr>
        <w:ind w:firstLine="480"/>
        <w:rPr>
          <w:color w:val="auto"/>
        </w:rPr>
      </w:pPr>
      <w:r>
        <w:rPr>
          <w:rFonts w:hint="eastAsia"/>
          <w:color w:val="auto"/>
        </w:rPr>
        <w:t>本项目的环境影响报告书征求意见稿纸质版的查阅场所设置在</w:t>
      </w:r>
      <w:r>
        <w:rPr>
          <w:rFonts w:hint="eastAsia"/>
          <w:color w:val="auto"/>
          <w:lang w:val="en-US" w:eastAsia="zh-CN"/>
        </w:rPr>
        <w:t>贵港市港北区金港大道1003-9号（盛世荷城）1-1栋6号一楼</w:t>
      </w:r>
      <w:r>
        <w:rPr>
          <w:rFonts w:hint="eastAsia"/>
          <w:color w:val="auto"/>
        </w:rPr>
        <w:t>。</w:t>
      </w: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2、公众查阅情况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截止目前，在本项目环境影响报告书征求意见稿的公示期间暂未收到公众的查阅要求。</w:t>
      </w:r>
    </w:p>
    <w:p>
      <w:pPr>
        <w:pStyle w:val="3"/>
        <w:rPr>
          <w:color w:val="000000" w:themeColor="text1"/>
          <w14:textFill>
            <w14:solidFill>
              <w14:schemeClr w14:val="tx1"/>
            </w14:solidFill>
          </w14:textFill>
        </w:rPr>
      </w:pPr>
      <w:bookmarkStart w:id="8" w:name="_Toc3834"/>
      <w:r>
        <w:rPr>
          <w:rFonts w:hint="eastAsia"/>
          <w:color w:val="000000" w:themeColor="text1"/>
          <w14:textFill>
            <w14:solidFill>
              <w14:schemeClr w14:val="tx1"/>
            </w14:solidFill>
          </w14:textFill>
        </w:rPr>
        <w:t>公众提出意见情况</w:t>
      </w:r>
      <w:bookmarkEnd w:id="8"/>
    </w:p>
    <w:p>
      <w:pPr>
        <w:ind w:firstLine="480"/>
        <w:rPr>
          <w:color w:val="000000" w:themeColor="text1"/>
          <w14:textFill>
            <w14:solidFill>
              <w14:schemeClr w14:val="tx1"/>
            </w14:solidFill>
          </w14:textFill>
        </w:rPr>
        <w:sectPr>
          <w:pgSz w:w="11906" w:h="16838"/>
          <w:pgMar w:top="1418" w:right="1797" w:bottom="1418" w:left="1797" w:header="851" w:footer="992" w:gutter="0"/>
          <w:cols w:space="425" w:num="1"/>
          <w:docGrid w:type="lines" w:linePitch="312" w:charSpace="0"/>
        </w:sectPr>
      </w:pPr>
      <w:r>
        <w:rPr>
          <w:rFonts w:hint="eastAsia"/>
          <w:color w:val="000000" w:themeColor="text1"/>
          <w14:textFill>
            <w14:solidFill>
              <w14:schemeClr w14:val="tx1"/>
            </w14:solidFill>
          </w14:textFill>
        </w:rPr>
        <w:t>截止目前，在本项目环境影响报告书征求意见稿的公示期间，我单位及环境影响报告书编制单位未收到公众意见反馈。</w:t>
      </w:r>
    </w:p>
    <w:p>
      <w:pPr>
        <w:pStyle w:val="2"/>
        <w:rPr>
          <w:color w:val="000000" w:themeColor="text1"/>
          <w14:textFill>
            <w14:solidFill>
              <w14:schemeClr w14:val="tx1"/>
            </w14:solidFill>
          </w14:textFill>
        </w:rPr>
      </w:pPr>
      <w:bookmarkStart w:id="9" w:name="_Toc28362"/>
      <w:r>
        <w:rPr>
          <w:rFonts w:hint="eastAsia"/>
          <w:color w:val="000000" w:themeColor="text1"/>
          <w14:textFill>
            <w14:solidFill>
              <w14:schemeClr w14:val="tx1"/>
            </w14:solidFill>
          </w14:textFill>
        </w:rPr>
        <w:t>其他公众参与情况</w:t>
      </w:r>
      <w:bookmarkEnd w:id="9"/>
    </w:p>
    <w:p>
      <w:pPr>
        <w:pStyle w:val="3"/>
        <w:rPr>
          <w:color w:val="000000" w:themeColor="text1"/>
          <w14:textFill>
            <w14:solidFill>
              <w14:schemeClr w14:val="tx1"/>
            </w14:solidFill>
          </w14:textFill>
        </w:rPr>
      </w:pPr>
      <w:bookmarkStart w:id="10" w:name="_Toc2315"/>
      <w:r>
        <w:rPr>
          <w:rFonts w:hint="eastAsia"/>
          <w:color w:val="000000" w:themeColor="text1"/>
          <w14:textFill>
            <w14:solidFill>
              <w14:schemeClr w14:val="tx1"/>
            </w14:solidFill>
          </w14:textFill>
        </w:rPr>
        <w:t>公众座谈会、听证会、专家论证会情况</w:t>
      </w:r>
      <w:bookmarkEnd w:id="10"/>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p>
      <w:pPr>
        <w:pStyle w:val="3"/>
        <w:rPr>
          <w:color w:val="000000" w:themeColor="text1"/>
          <w14:textFill>
            <w14:solidFill>
              <w14:schemeClr w14:val="tx1"/>
            </w14:solidFill>
          </w14:textFill>
        </w:rPr>
      </w:pPr>
      <w:bookmarkStart w:id="11" w:name="_Toc4392"/>
      <w:r>
        <w:rPr>
          <w:rFonts w:hint="eastAsia"/>
          <w:color w:val="000000" w:themeColor="text1"/>
          <w14:textFill>
            <w14:solidFill>
              <w14:schemeClr w14:val="tx1"/>
            </w14:solidFill>
          </w14:textFill>
        </w:rPr>
        <w:t>其他公众参与情况</w:t>
      </w:r>
      <w:bookmarkEnd w:id="11"/>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p>
      <w:pPr>
        <w:pStyle w:val="3"/>
        <w:rPr>
          <w:color w:val="000000" w:themeColor="text1"/>
          <w14:textFill>
            <w14:solidFill>
              <w14:schemeClr w14:val="tx1"/>
            </w14:solidFill>
          </w14:textFill>
        </w:rPr>
      </w:pPr>
      <w:bookmarkStart w:id="12" w:name="_Toc10339"/>
      <w:r>
        <w:rPr>
          <w:rFonts w:hint="eastAsia"/>
          <w:color w:val="000000" w:themeColor="text1"/>
          <w14:textFill>
            <w14:solidFill>
              <w14:schemeClr w14:val="tx1"/>
            </w14:solidFill>
          </w14:textFill>
        </w:rPr>
        <w:t>宣传科普情况</w:t>
      </w:r>
      <w:bookmarkEnd w:id="12"/>
    </w:p>
    <w:p>
      <w:pPr>
        <w:ind w:firstLine="480"/>
        <w:rPr>
          <w:color w:val="000000" w:themeColor="text1"/>
          <w14:textFill>
            <w14:solidFill>
              <w14:schemeClr w14:val="tx1"/>
            </w14:solidFill>
          </w14:textFill>
        </w:rPr>
        <w:sectPr>
          <w:pgSz w:w="11906" w:h="16838"/>
          <w:pgMar w:top="1418" w:right="1797" w:bottom="1418" w:left="1797" w:header="851" w:footer="992" w:gutter="0"/>
          <w:cols w:space="425" w:num="1"/>
          <w:docGrid w:type="lines" w:linePitch="312" w:charSpace="0"/>
        </w:sectPr>
      </w:pPr>
      <w:r>
        <w:rPr>
          <w:rFonts w:hint="eastAsia"/>
          <w:color w:val="000000" w:themeColor="text1"/>
          <w14:textFill>
            <w14:solidFill>
              <w14:schemeClr w14:val="tx1"/>
            </w14:solidFill>
          </w14:textFill>
        </w:rPr>
        <w:t>无。</w:t>
      </w:r>
    </w:p>
    <w:p>
      <w:pPr>
        <w:pStyle w:val="2"/>
        <w:rPr>
          <w:color w:val="000000" w:themeColor="text1"/>
          <w14:textFill>
            <w14:solidFill>
              <w14:schemeClr w14:val="tx1"/>
            </w14:solidFill>
          </w14:textFill>
        </w:rPr>
      </w:pPr>
      <w:bookmarkStart w:id="13" w:name="_Toc30573"/>
      <w:r>
        <w:rPr>
          <w:rFonts w:hint="eastAsia"/>
          <w:color w:val="000000" w:themeColor="text1"/>
          <w14:textFill>
            <w14:solidFill>
              <w14:schemeClr w14:val="tx1"/>
            </w14:solidFill>
          </w14:textFill>
        </w:rPr>
        <w:t>公众意见处理情况</w:t>
      </w:r>
      <w:bookmarkEnd w:id="13"/>
    </w:p>
    <w:p>
      <w:pPr>
        <w:pStyle w:val="3"/>
        <w:rPr>
          <w:color w:val="000000" w:themeColor="text1"/>
          <w14:textFill>
            <w14:solidFill>
              <w14:schemeClr w14:val="tx1"/>
            </w14:solidFill>
          </w14:textFill>
        </w:rPr>
      </w:pPr>
      <w:bookmarkStart w:id="14" w:name="_Toc8658"/>
      <w:r>
        <w:rPr>
          <w:rFonts w:hint="eastAsia"/>
          <w:color w:val="000000" w:themeColor="text1"/>
          <w14:textFill>
            <w14:solidFill>
              <w14:schemeClr w14:val="tx1"/>
            </w14:solidFill>
          </w14:textFill>
        </w:rPr>
        <w:t>公众意见概述及分析</w:t>
      </w:r>
      <w:bookmarkEnd w:id="14"/>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在本项目首次环境影响评价信息及环境影响报告书征求意见稿公示期间，未收到公参意见。</w:t>
      </w:r>
    </w:p>
    <w:p>
      <w:pPr>
        <w:pStyle w:val="3"/>
        <w:rPr>
          <w:color w:val="000000" w:themeColor="text1"/>
          <w14:textFill>
            <w14:solidFill>
              <w14:schemeClr w14:val="tx1"/>
            </w14:solidFill>
          </w14:textFill>
        </w:rPr>
      </w:pPr>
      <w:bookmarkStart w:id="15" w:name="_Toc6920"/>
      <w:r>
        <w:rPr>
          <w:rFonts w:hint="eastAsia"/>
          <w:color w:val="000000" w:themeColor="text1"/>
          <w14:textFill>
            <w14:solidFill>
              <w14:schemeClr w14:val="tx1"/>
            </w14:solidFill>
          </w14:textFill>
        </w:rPr>
        <w:t>公众意见采纳情况</w:t>
      </w:r>
      <w:bookmarkEnd w:id="15"/>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此次公参未收到公众意见。</w:t>
      </w:r>
    </w:p>
    <w:p>
      <w:pPr>
        <w:pStyle w:val="3"/>
        <w:rPr>
          <w:color w:val="000000" w:themeColor="text1"/>
          <w14:textFill>
            <w14:solidFill>
              <w14:schemeClr w14:val="tx1"/>
            </w14:solidFill>
          </w14:textFill>
        </w:rPr>
      </w:pPr>
      <w:bookmarkStart w:id="16" w:name="_Toc18787"/>
      <w:r>
        <w:rPr>
          <w:rFonts w:hint="eastAsia"/>
          <w:color w:val="000000" w:themeColor="text1"/>
          <w14:textFill>
            <w14:solidFill>
              <w14:schemeClr w14:val="tx1"/>
            </w14:solidFill>
          </w14:textFill>
        </w:rPr>
        <w:t>公众意见未采纳情况</w:t>
      </w:r>
      <w:bookmarkEnd w:id="16"/>
    </w:p>
    <w:p>
      <w:pPr>
        <w:ind w:firstLine="480"/>
        <w:rPr>
          <w:color w:val="000000" w:themeColor="text1"/>
          <w14:textFill>
            <w14:solidFill>
              <w14:schemeClr w14:val="tx1"/>
            </w14:solidFill>
          </w14:textFill>
        </w:rPr>
        <w:sectPr>
          <w:pgSz w:w="11906" w:h="16838"/>
          <w:pgMar w:top="1418" w:right="1797" w:bottom="1418" w:left="1797" w:header="851" w:footer="992" w:gutter="0"/>
          <w:cols w:space="425" w:num="1"/>
          <w:docGrid w:type="lines" w:linePitch="312" w:charSpace="0"/>
        </w:sectPr>
      </w:pPr>
      <w:r>
        <w:rPr>
          <w:rFonts w:hint="eastAsia"/>
          <w:color w:val="000000" w:themeColor="text1"/>
          <w14:textFill>
            <w14:solidFill>
              <w14:schemeClr w14:val="tx1"/>
            </w14:solidFill>
          </w14:textFill>
        </w:rPr>
        <w:t>此次公参未收到公众意见。</w:t>
      </w:r>
    </w:p>
    <w:p>
      <w:pPr>
        <w:pStyle w:val="2"/>
        <w:rPr>
          <w:color w:val="000000" w:themeColor="text1"/>
          <w14:textFill>
            <w14:solidFill>
              <w14:schemeClr w14:val="tx1"/>
            </w14:solidFill>
          </w14:textFill>
        </w:rPr>
      </w:pPr>
      <w:bookmarkStart w:id="17" w:name="_Toc26169675"/>
      <w:bookmarkStart w:id="18" w:name="_Toc10083"/>
      <w:bookmarkStart w:id="19" w:name="_Toc2428"/>
      <w:bookmarkStart w:id="20" w:name="_Toc9936"/>
      <w:r>
        <w:rPr>
          <w:rFonts w:hint="eastAsia"/>
          <w:color w:val="000000" w:themeColor="text1"/>
          <w14:textFill>
            <w14:solidFill>
              <w14:schemeClr w14:val="tx1"/>
            </w14:solidFill>
          </w14:textFill>
        </w:rPr>
        <w:t>报批前公开情况</w:t>
      </w:r>
      <w:bookmarkEnd w:id="17"/>
      <w:bookmarkEnd w:id="18"/>
      <w:bookmarkEnd w:id="19"/>
      <w:bookmarkEnd w:id="20"/>
    </w:p>
    <w:p>
      <w:pPr>
        <w:pStyle w:val="3"/>
        <w:rPr>
          <w:color w:val="000000" w:themeColor="text1"/>
          <w14:textFill>
            <w14:solidFill>
              <w14:schemeClr w14:val="tx1"/>
            </w14:solidFill>
          </w14:textFill>
        </w:rPr>
      </w:pPr>
      <w:bookmarkStart w:id="21" w:name="_Toc9862"/>
      <w:bookmarkStart w:id="22" w:name="_Toc1497"/>
      <w:bookmarkStart w:id="23" w:name="_Toc26169676"/>
      <w:bookmarkStart w:id="24" w:name="_Toc29114"/>
      <w:r>
        <w:rPr>
          <w:rFonts w:hint="eastAsia"/>
          <w:color w:val="000000" w:themeColor="text1"/>
          <w14:textFill>
            <w14:solidFill>
              <w14:schemeClr w14:val="tx1"/>
            </w14:solidFill>
          </w14:textFill>
        </w:rPr>
        <w:t>公开内容及日期</w:t>
      </w:r>
      <w:bookmarkEnd w:id="21"/>
      <w:bookmarkEnd w:id="22"/>
      <w:bookmarkEnd w:id="23"/>
      <w:bookmarkEnd w:id="24"/>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1、公开情况</w:t>
      </w:r>
    </w:p>
    <w:p>
      <w:pPr>
        <w:ind w:firstLine="480"/>
        <w:rPr>
          <w:color w:val="auto"/>
        </w:rPr>
      </w:pPr>
      <w:r>
        <w:rPr>
          <w:rFonts w:hint="eastAsia"/>
          <w:color w:val="auto"/>
          <w:lang w:eastAsia="zh-CN"/>
        </w:rPr>
        <w:t>贵港市东山港港务有限公司</w:t>
      </w:r>
      <w:r>
        <w:rPr>
          <w:rFonts w:hint="eastAsia"/>
          <w:color w:val="auto"/>
        </w:rPr>
        <w:t>于</w:t>
      </w:r>
      <w:r>
        <w:rPr>
          <w:rFonts w:hint="eastAsia"/>
          <w:color w:val="auto"/>
          <w:lang w:val="en-US" w:eastAsia="zh-CN"/>
        </w:rPr>
        <w:t>2024</w:t>
      </w:r>
      <w:r>
        <w:rPr>
          <w:rFonts w:hint="eastAsia"/>
          <w:color w:val="auto"/>
        </w:rPr>
        <w:t>年</w:t>
      </w:r>
      <w:r>
        <w:rPr>
          <w:rFonts w:hint="eastAsia"/>
          <w:color w:val="auto"/>
          <w:lang w:val="en-US" w:eastAsia="zh-CN"/>
        </w:rPr>
        <w:t>4</w:t>
      </w:r>
      <w:r>
        <w:rPr>
          <w:rFonts w:hint="eastAsia"/>
          <w:color w:val="auto"/>
        </w:rPr>
        <w:t>月</w:t>
      </w:r>
      <w:r>
        <w:rPr>
          <w:rFonts w:hint="eastAsia"/>
          <w:color w:val="auto"/>
          <w:lang w:val="en-US" w:eastAsia="zh-CN"/>
        </w:rPr>
        <w:t>22</w:t>
      </w:r>
      <w:r>
        <w:rPr>
          <w:rFonts w:hint="eastAsia"/>
          <w:color w:val="auto"/>
        </w:rPr>
        <w:t>日在网站上公开了本项目拟报批的环境影响报告书全本和公众参与说明。</w:t>
      </w:r>
    </w:p>
    <w:p>
      <w:pPr>
        <w:ind w:firstLine="482"/>
        <w:rPr>
          <w:b/>
          <w:color w:val="auto"/>
        </w:rPr>
      </w:pPr>
      <w:r>
        <w:rPr>
          <w:rFonts w:hint="eastAsia"/>
          <w:b/>
          <w:color w:val="auto"/>
        </w:rPr>
        <w:t>2、与《办法》的符合性分析</w:t>
      </w:r>
    </w:p>
    <w:p>
      <w:pPr>
        <w:ind w:firstLine="480"/>
        <w:rPr>
          <w:color w:val="auto"/>
        </w:rPr>
      </w:pPr>
      <w:r>
        <w:rPr>
          <w:rFonts w:hint="eastAsia"/>
          <w:color w:val="auto"/>
        </w:rPr>
        <w:t>此次公开的拟报批的环境影响报告书全本不包含国家秘密、商业秘密、个人隐私等依法不应公开的内容，符合《办法》的规定。</w:t>
      </w:r>
    </w:p>
    <w:p>
      <w:pPr>
        <w:pStyle w:val="3"/>
        <w:rPr>
          <w:color w:val="0000FF"/>
        </w:rPr>
      </w:pPr>
      <w:bookmarkStart w:id="25" w:name="_Toc31460"/>
      <w:bookmarkStart w:id="26" w:name="_Toc26169677"/>
      <w:bookmarkStart w:id="27" w:name="_Toc4683"/>
      <w:bookmarkStart w:id="28" w:name="_Toc20823"/>
      <w:r>
        <w:rPr>
          <w:rFonts w:hint="eastAsia"/>
          <w:color w:val="0000FF"/>
        </w:rPr>
        <w:t>公开方式</w:t>
      </w:r>
      <w:bookmarkEnd w:id="25"/>
      <w:bookmarkEnd w:id="26"/>
      <w:bookmarkEnd w:id="27"/>
      <w:bookmarkEnd w:id="28"/>
    </w:p>
    <w:p>
      <w:pPr>
        <w:pStyle w:val="4"/>
        <w:rPr>
          <w:color w:val="0000FF"/>
        </w:rPr>
      </w:pPr>
      <w:r>
        <w:rPr>
          <w:rFonts w:hint="eastAsia"/>
          <w:color w:val="0000FF"/>
        </w:rPr>
        <w:t>网络</w:t>
      </w:r>
    </w:p>
    <w:p>
      <w:pPr>
        <w:ind w:firstLine="482"/>
        <w:rPr>
          <w:b/>
          <w:color w:val="0000FF"/>
        </w:rPr>
      </w:pPr>
      <w:r>
        <w:rPr>
          <w:rFonts w:hint="eastAsia"/>
          <w:b/>
          <w:color w:val="0000FF"/>
        </w:rPr>
        <w:t>1、网络公示情况</w:t>
      </w:r>
    </w:p>
    <w:p>
      <w:pPr>
        <w:ind w:firstLine="480"/>
        <w:rPr>
          <w:color w:val="0000FF"/>
        </w:rPr>
        <w:sectPr>
          <w:pgSz w:w="11906" w:h="16838"/>
          <w:pgMar w:top="1418" w:right="1797" w:bottom="1418" w:left="1797" w:header="851" w:footer="992" w:gutter="0"/>
          <w:cols w:space="425" w:num="1"/>
          <w:docGrid w:type="lines" w:linePitch="312" w:charSpace="0"/>
        </w:sectPr>
      </w:pPr>
      <w:r>
        <w:rPr>
          <w:rFonts w:hint="eastAsia"/>
          <w:color w:val="0000FF"/>
          <w:lang w:eastAsia="zh-CN"/>
        </w:rPr>
        <w:t>贵港市东山港港务有限公司</w:t>
      </w:r>
      <w:r>
        <w:rPr>
          <w:rFonts w:hint="eastAsia"/>
          <w:color w:val="0000FF"/>
        </w:rPr>
        <w:t>于2021年</w:t>
      </w:r>
      <w:r>
        <w:rPr>
          <w:color w:val="0000FF"/>
        </w:rPr>
        <w:t>9</w:t>
      </w:r>
      <w:r>
        <w:rPr>
          <w:rFonts w:hint="eastAsia"/>
          <w:color w:val="0000FF"/>
        </w:rPr>
        <w:t>月</w:t>
      </w:r>
      <w:r>
        <w:rPr>
          <w:color w:val="0000FF"/>
        </w:rPr>
        <w:t>9</w:t>
      </w:r>
      <w:r>
        <w:rPr>
          <w:rFonts w:hint="eastAsia"/>
          <w:color w:val="0000FF"/>
        </w:rPr>
        <w:t>日在广西水运工程数据服务平台（</w:t>
      </w:r>
      <w:r>
        <w:rPr>
          <w:color w:val="0000FF"/>
        </w:rPr>
        <w:t>http://www.gxsy114.com/inDetails.html?id=1507</w:t>
      </w:r>
      <w:r>
        <w:rPr>
          <w:rFonts w:hint="eastAsia"/>
          <w:color w:val="0000FF"/>
        </w:rPr>
        <w:t>）上公示了本项目拟报批的环境影响报告书和公众参与说明的查阅方式，公示信息截图见图</w:t>
      </w:r>
      <w:r>
        <w:rPr>
          <w:color w:val="0000FF"/>
        </w:rPr>
        <w:t>6</w:t>
      </w:r>
      <w:r>
        <w:rPr>
          <w:rFonts w:hint="eastAsia"/>
          <w:color w:val="0000FF"/>
        </w:rPr>
        <w:t>。</w:t>
      </w:r>
    </w:p>
    <w:p>
      <w:pPr>
        <w:ind w:firstLine="0" w:firstLineChars="0"/>
        <w:jc w:val="center"/>
        <w:rPr>
          <w:color w:val="0000FF"/>
        </w:rPr>
      </w:pPr>
      <w:r>
        <w:rPr>
          <w:color w:val="0000FF"/>
        </w:rPr>
        <w:drawing>
          <wp:inline distT="0" distB="0" distL="0" distR="0">
            <wp:extent cx="8391525" cy="48679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8400858" cy="4873603"/>
                    </a:xfrm>
                    <a:prstGeom prst="rect">
                      <a:avLst/>
                    </a:prstGeom>
                  </pic:spPr>
                </pic:pic>
              </a:graphicData>
            </a:graphic>
          </wp:inline>
        </w:drawing>
      </w:r>
    </w:p>
    <w:p>
      <w:pPr>
        <w:pStyle w:val="23"/>
        <w:rPr>
          <w:color w:val="0000FF"/>
        </w:rPr>
      </w:pPr>
      <w:r>
        <w:rPr>
          <w:rFonts w:hint="eastAsia"/>
          <w:color w:val="0000FF"/>
        </w:rPr>
        <w:t>本项目环境影响报告书报批稿网上公示截图</w:t>
      </w:r>
    </w:p>
    <w:p>
      <w:pPr>
        <w:ind w:firstLine="0" w:firstLineChars="0"/>
        <w:jc w:val="center"/>
        <w:rPr>
          <w:color w:val="0000FF"/>
        </w:rPr>
        <w:sectPr>
          <w:pgSz w:w="16838" w:h="11906" w:orient="landscape"/>
          <w:pgMar w:top="1797" w:right="1418" w:bottom="1797" w:left="1418" w:header="851" w:footer="992" w:gutter="0"/>
          <w:cols w:space="425" w:num="1"/>
          <w:docGrid w:type="lines" w:linePitch="312" w:charSpace="0"/>
        </w:sectPr>
      </w:pPr>
    </w:p>
    <w:p>
      <w:pPr>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2、载体选取符合性分析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《环境影响评价公众参与办法》（生态环境部令第4号）第二十条规定，建设单位向生态环境部门报批环境影响报告书前，应当通过网络平台，公开拟报批的环境影响报告书全文和公众参与说明。</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本项目拟报批的环境影响报告书全文和公众参与说明稿的公示网站为</w:t>
      </w:r>
      <w:r>
        <w:rPr>
          <w:rFonts w:hint="eastAsia"/>
          <w:color w:val="000000" w:themeColor="text1"/>
          <w:lang w:eastAsia="zh-CN"/>
          <w14:textFill>
            <w14:solidFill>
              <w14:schemeClr w14:val="tx1"/>
            </w14:solidFill>
          </w14:textFill>
        </w:rPr>
        <w:t>贵港市东山港港务有限公司</w:t>
      </w:r>
      <w:r>
        <w:rPr>
          <w:rFonts w:hint="eastAsia"/>
          <w:color w:val="000000" w:themeColor="text1"/>
          <w14:textFill>
            <w14:solidFill>
              <w14:schemeClr w14:val="tx1"/>
            </w14:solidFill>
          </w14:textFill>
        </w:rPr>
        <w:t>项目公示专用网站，符合网络载体的选取要求。</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bookmarkStart w:id="29" w:name="_Toc13902"/>
    </w:p>
    <w:p>
      <w:pPr>
        <w:pStyle w:val="3"/>
        <w:rPr>
          <w:color w:val="000000" w:themeColor="text1"/>
          <w14:textFill>
            <w14:solidFill>
              <w14:schemeClr w14:val="tx1"/>
            </w14:solidFill>
          </w14:textFill>
        </w:rPr>
      </w:pPr>
      <w:bookmarkStart w:id="30" w:name="_Toc29599"/>
      <w:r>
        <w:rPr>
          <w:rFonts w:hint="eastAsia"/>
          <w:color w:val="000000" w:themeColor="text1"/>
          <w14:textFill>
            <w14:solidFill>
              <w14:schemeClr w14:val="tx1"/>
            </w14:solidFill>
          </w14:textFill>
        </w:rPr>
        <w:t>其他</w:t>
      </w:r>
      <w:bookmarkEnd w:id="29"/>
      <w:bookmarkEnd w:id="30"/>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我单位对本项目环境影响评价公众参与内容进行了存档。</w:t>
      </w:r>
    </w:p>
    <w:p>
      <w:pPr>
        <w:pStyle w:val="7"/>
        <w:ind w:firstLine="480"/>
        <w:rPr>
          <w:color w:val="0000FF"/>
        </w:rPr>
        <w:sectPr>
          <w:pgSz w:w="11906" w:h="16838"/>
          <w:pgMar w:top="1418" w:right="1797" w:bottom="1418" w:left="1797" w:header="851" w:footer="992" w:gutter="0"/>
          <w:cols w:space="425" w:num="1"/>
          <w:docGrid w:type="lines" w:linePitch="312" w:charSpace="0"/>
        </w:sectPr>
      </w:pPr>
    </w:p>
    <w:p>
      <w:pPr>
        <w:pStyle w:val="2"/>
        <w:rPr>
          <w:color w:val="auto"/>
        </w:rPr>
      </w:pPr>
      <w:bookmarkStart w:id="31" w:name="_Toc728"/>
      <w:bookmarkStart w:id="32" w:name="_Hlk82595329"/>
      <w:r>
        <w:rPr>
          <w:rFonts w:hint="eastAsia"/>
          <w:color w:val="auto"/>
          <w:lang w:eastAsia="zh-CN"/>
        </w:rPr>
        <w:t>附件</w:t>
      </w:r>
      <w:bookmarkEnd w:id="31"/>
    </w:p>
    <w:p>
      <w:pPr>
        <w:ind w:firstLine="883"/>
        <w:jc w:val="center"/>
        <w:rPr>
          <w:rFonts w:hint="eastAsia"/>
          <w:b/>
          <w:bCs/>
          <w:color w:val="auto"/>
          <w:sz w:val="44"/>
          <w:szCs w:val="44"/>
        </w:rPr>
      </w:pPr>
      <w:r>
        <w:rPr>
          <w:rFonts w:hint="eastAsia"/>
          <w:b/>
          <w:bCs/>
          <w:color w:val="auto"/>
          <w:sz w:val="44"/>
          <w:szCs w:val="44"/>
        </w:rPr>
        <w:t>诚信承诺</w:t>
      </w:r>
    </w:p>
    <w:p>
      <w:pPr>
        <w:spacing w:line="480" w:lineRule="auto"/>
        <w:ind w:firstLine="480"/>
        <w:rPr>
          <w:color w:val="auto"/>
        </w:rPr>
      </w:pPr>
    </w:p>
    <w:p>
      <w:pPr>
        <w:spacing w:line="480" w:lineRule="auto"/>
        <w:ind w:firstLine="560"/>
        <w:rPr>
          <w:rFonts w:hint="eastAsia"/>
          <w:color w:val="auto"/>
          <w:sz w:val="28"/>
          <w:szCs w:val="28"/>
        </w:rPr>
      </w:pPr>
      <w:r>
        <w:rPr>
          <w:rFonts w:hint="eastAsia"/>
          <w:color w:val="auto"/>
          <w:sz w:val="28"/>
          <w:szCs w:val="28"/>
        </w:rPr>
        <w:t>我单位已按照《办法》要求，在</w:t>
      </w:r>
      <w:r>
        <w:rPr>
          <w:rFonts w:hint="eastAsia"/>
          <w:color w:val="auto"/>
          <w:sz w:val="28"/>
          <w:szCs w:val="28"/>
          <w:u w:val="single"/>
          <w:lang w:val="en-US" w:eastAsia="zh-CN"/>
        </w:rPr>
        <w:t>贵港港中心港区东山作业区5号至7号泊位工程</w:t>
      </w:r>
      <w:r>
        <w:rPr>
          <w:rFonts w:hint="eastAsia"/>
          <w:color w:val="auto"/>
          <w:sz w:val="28"/>
          <w:szCs w:val="28"/>
        </w:rPr>
        <w:t>环境影响报告书编制阶段开展了公众参与工作，在环境影响报告书中充分采纳了公众提出的与环境影响相关的合理意见，对未采纳的意见按要求进行了说明，并按照要求编制了公众参与说明。</w:t>
      </w:r>
    </w:p>
    <w:p>
      <w:pPr>
        <w:spacing w:line="480" w:lineRule="auto"/>
        <w:ind w:firstLine="560"/>
        <w:rPr>
          <w:color w:val="auto"/>
          <w:sz w:val="28"/>
          <w:szCs w:val="28"/>
        </w:rPr>
      </w:pPr>
      <w:r>
        <w:rPr>
          <w:rFonts w:hint="eastAsia"/>
          <w:color w:val="auto"/>
          <w:sz w:val="28"/>
          <w:szCs w:val="28"/>
        </w:rPr>
        <w:t>我单位承诺，本次提交的《</w:t>
      </w:r>
      <w:r>
        <w:rPr>
          <w:rFonts w:hint="eastAsia"/>
          <w:color w:val="auto"/>
          <w:sz w:val="28"/>
          <w:szCs w:val="28"/>
          <w:u w:val="single"/>
          <w:lang w:val="en-US" w:eastAsia="zh-CN"/>
        </w:rPr>
        <w:t>贵港港中心港区东山作业区5号至7号泊位工程</w:t>
      </w:r>
      <w:r>
        <w:rPr>
          <w:rFonts w:hint="eastAsia"/>
          <w:color w:val="auto"/>
          <w:sz w:val="28"/>
          <w:szCs w:val="28"/>
        </w:rPr>
        <w:t>环境影响评价公众参与说明》容客观、真实，未包含依法不得公开国家秘密、商业秘密、个人隐私。如存在弄作假、隐瞒欺骗等情况及由此导致的一切后果由</w:t>
      </w:r>
      <w:r>
        <w:rPr>
          <w:rFonts w:hint="eastAsia"/>
          <w:color w:val="auto"/>
          <w:sz w:val="28"/>
          <w:szCs w:val="28"/>
          <w:lang w:val="en-US" w:eastAsia="zh-CN"/>
        </w:rPr>
        <w:t>贵港市东山港港务</w:t>
      </w:r>
      <w:r>
        <w:rPr>
          <w:rFonts w:hint="eastAsia"/>
          <w:color w:val="auto"/>
          <w:sz w:val="28"/>
          <w:szCs w:val="28"/>
        </w:rPr>
        <w:t>有限公司承担全部责任。</w:t>
      </w:r>
    </w:p>
    <w:p>
      <w:pPr>
        <w:spacing w:line="480" w:lineRule="auto"/>
        <w:ind w:firstLine="560"/>
        <w:rPr>
          <w:color w:val="auto"/>
          <w:sz w:val="28"/>
          <w:szCs w:val="28"/>
        </w:rPr>
      </w:pPr>
    </w:p>
    <w:p>
      <w:pPr>
        <w:spacing w:line="480" w:lineRule="auto"/>
        <w:ind w:firstLine="4480" w:firstLineChars="1600"/>
        <w:rPr>
          <w:color w:val="auto"/>
          <w:sz w:val="28"/>
          <w:szCs w:val="28"/>
        </w:rPr>
      </w:pPr>
      <w:r>
        <w:rPr>
          <w:rFonts w:hint="eastAsia"/>
          <w:color w:val="auto"/>
          <w:sz w:val="28"/>
          <w:szCs w:val="28"/>
          <w:lang w:val="en-US" w:eastAsia="zh-CN"/>
        </w:rPr>
        <w:t>贵港市东山港港务</w:t>
      </w:r>
      <w:r>
        <w:rPr>
          <w:rFonts w:hint="eastAsia"/>
          <w:color w:val="auto"/>
          <w:sz w:val="28"/>
          <w:szCs w:val="28"/>
        </w:rPr>
        <w:t>有限公司</w:t>
      </w:r>
    </w:p>
    <w:p>
      <w:pPr>
        <w:spacing w:line="480" w:lineRule="auto"/>
        <w:ind w:firstLine="5040" w:firstLineChars="1800"/>
        <w:rPr>
          <w:rFonts w:hint="eastAsia"/>
          <w:color w:val="auto"/>
          <w:sz w:val="28"/>
          <w:szCs w:val="28"/>
        </w:rPr>
      </w:pPr>
      <w:r>
        <w:rPr>
          <w:rFonts w:hint="eastAsia"/>
          <w:color w:val="auto"/>
          <w:sz w:val="28"/>
          <w:szCs w:val="28"/>
          <w:lang w:val="en-US" w:eastAsia="zh-CN"/>
        </w:rPr>
        <w:t xml:space="preserve">  </w:t>
      </w:r>
      <w:r>
        <w:rPr>
          <w:rFonts w:hint="eastAsia"/>
          <w:color w:val="auto"/>
          <w:sz w:val="28"/>
          <w:szCs w:val="28"/>
        </w:rPr>
        <w:t xml:space="preserve">年 </w:t>
      </w:r>
      <w:r>
        <w:rPr>
          <w:color w:val="auto"/>
          <w:sz w:val="28"/>
          <w:szCs w:val="28"/>
        </w:rPr>
        <w:t xml:space="preserve">  </w:t>
      </w:r>
      <w:r>
        <w:rPr>
          <w:rFonts w:hint="eastAsia"/>
          <w:color w:val="auto"/>
          <w:sz w:val="28"/>
          <w:szCs w:val="28"/>
        </w:rPr>
        <w:t xml:space="preserve">月 </w:t>
      </w:r>
      <w:r>
        <w:rPr>
          <w:color w:val="auto"/>
          <w:sz w:val="28"/>
          <w:szCs w:val="28"/>
        </w:rPr>
        <w:t xml:space="preserve"> </w:t>
      </w:r>
      <w:r>
        <w:rPr>
          <w:rFonts w:hint="eastAsia"/>
          <w:color w:val="auto"/>
          <w:sz w:val="28"/>
          <w:szCs w:val="28"/>
        </w:rPr>
        <w:t>日</w:t>
      </w:r>
      <w:bookmarkEnd w:id="32"/>
    </w:p>
    <w:sectPr>
      <w:pgSz w:w="11906" w:h="16838"/>
      <w:pgMar w:top="1418" w:right="1797" w:bottom="1418"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2810228"/>
    </w:sdtPr>
    <w:sdtContent>
      <w:p>
        <w:pPr>
          <w:pStyle w:val="11"/>
          <w:ind w:firstLine="0" w:firstLineChars="0"/>
          <w:jc w:val="center"/>
        </w:pPr>
        <w:r>
          <w:fldChar w:fldCharType="begin"/>
        </w:r>
        <w:r>
          <w:instrText xml:space="preserve">PAGE   \* MERGEFORMAT</w:instrText>
        </w:r>
        <w:r>
          <w:fldChar w:fldCharType="separate"/>
        </w:r>
        <w:r>
          <w:rPr>
            <w:lang w:val="zh-CN"/>
          </w:rPr>
          <w:t>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342D59"/>
    <w:multiLevelType w:val="multilevel"/>
    <w:tmpl w:val="15342D59"/>
    <w:lvl w:ilvl="0" w:tentative="0">
      <w:start w:val="1"/>
      <w:numFmt w:val="decimal"/>
      <w:pStyle w:val="2"/>
      <w:suff w:val="space"/>
      <w:lvlText w:val="%1"/>
      <w:lvlJc w:val="left"/>
      <w:pPr>
        <w:ind w:left="0" w:firstLine="0"/>
      </w:pPr>
      <w:rPr>
        <w:rFonts w:hint="default" w:ascii="Times New Roman" w:hAnsi="Times New Roman" w:eastAsia="宋体"/>
        <w:b/>
        <w:i w:val="0"/>
        <w:caps w:val="0"/>
        <w:strike w:val="0"/>
        <w:dstrike w:val="0"/>
        <w:vanish w:val="0"/>
        <w:sz w:val="30"/>
        <w:vertAlign w:val="baseline"/>
      </w:rPr>
    </w:lvl>
    <w:lvl w:ilvl="1" w:tentative="0">
      <w:start w:val="1"/>
      <w:numFmt w:val="decimal"/>
      <w:pStyle w:val="3"/>
      <w:suff w:val="space"/>
      <w:lvlText w:val="%1.%2"/>
      <w:lvlJc w:val="left"/>
      <w:pPr>
        <w:ind w:left="0" w:firstLine="0"/>
      </w:pPr>
      <w:rPr>
        <w:rFonts w:hint="default" w:ascii="Times New Roman" w:hAnsi="Times New Roman" w:eastAsia="宋体"/>
        <w:b/>
        <w:i w:val="0"/>
        <w:caps w:val="0"/>
        <w:strike w:val="0"/>
        <w:dstrike w:val="0"/>
        <w:vanish w:val="0"/>
        <w:sz w:val="28"/>
        <w:vertAlign w:val="baseline"/>
      </w:rPr>
    </w:lvl>
    <w:lvl w:ilvl="2" w:tentative="0">
      <w:start w:val="1"/>
      <w:numFmt w:val="decimal"/>
      <w:pStyle w:val="4"/>
      <w:suff w:val="space"/>
      <w:lvlText w:val="%1.%2.%3"/>
      <w:lvlJc w:val="left"/>
      <w:pPr>
        <w:ind w:left="0" w:firstLine="0"/>
      </w:pPr>
      <w:rPr>
        <w:rFonts w:hint="default" w:ascii="Times New Roman" w:hAnsi="Times New Roman" w:eastAsia="宋体"/>
        <w:b/>
        <w:i w:val="0"/>
        <w:caps w:val="0"/>
        <w:strike w:val="0"/>
        <w:dstrike w:val="0"/>
        <w:vanish w:val="0"/>
        <w:sz w:val="24"/>
        <w:vertAlign w:val="baseline"/>
      </w:rPr>
    </w:lvl>
    <w:lvl w:ilvl="3" w:tentative="0">
      <w:start w:val="1"/>
      <w:numFmt w:val="decimal"/>
      <w:lvlRestart w:val="0"/>
      <w:pStyle w:val="23"/>
      <w:suff w:val="space"/>
      <w:lvlText w:val="图%4"/>
      <w:lvlJc w:val="center"/>
      <w:pPr>
        <w:ind w:left="0" w:firstLine="0"/>
      </w:pPr>
      <w:rPr>
        <w:rFonts w:hint="default" w:ascii="Times New Roman" w:hAnsi="Times New Roman" w:eastAsia="宋体"/>
        <w:b/>
        <w:i w:val="0"/>
        <w:caps w:val="0"/>
        <w:strike w:val="0"/>
        <w:dstrike w:val="0"/>
        <w:vanish w:val="0"/>
        <w:sz w:val="21"/>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609E60C2"/>
    <w:multiLevelType w:val="multilevel"/>
    <w:tmpl w:val="609E60C2"/>
    <w:lvl w:ilvl="0" w:tentative="0">
      <w:start w:val="1"/>
      <w:numFmt w:val="decimal"/>
      <w:suff w:val="space"/>
      <w:lvlText w:val="%1"/>
      <w:lvlJc w:val="left"/>
      <w:pPr>
        <w:ind w:left="0" w:firstLine="0"/>
      </w:pPr>
      <w:rPr>
        <w:rFonts w:hint="default" w:ascii="Times New Roman" w:hAnsi="Times New Roman" w:eastAsia="黑体"/>
        <w:b w:val="0"/>
        <w:i w:val="0"/>
        <w:color w:val="000000" w:themeColor="text1"/>
        <w:sz w:val="32"/>
        <w14:textFill>
          <w14:solidFill>
            <w14:schemeClr w14:val="tx1"/>
          </w14:solidFill>
        </w14:textFill>
      </w:rPr>
    </w:lvl>
    <w:lvl w:ilvl="1" w:tentative="0">
      <w:start w:val="1"/>
      <w:numFmt w:val="decimal"/>
      <w:suff w:val="space"/>
      <w:lvlText w:val="%1.%2"/>
      <w:lvlJc w:val="left"/>
      <w:pPr>
        <w:ind w:left="0" w:firstLine="0"/>
      </w:pPr>
      <w:rPr>
        <w:rFonts w:hint="default" w:ascii="Times New Roman" w:hAnsi="Times New Roman" w:eastAsia="黑体"/>
        <w:b w:val="0"/>
        <w:i w:val="0"/>
        <w:color w:val="000000" w:themeColor="text1"/>
        <w:sz w:val="30"/>
        <w14:textFill>
          <w14:solidFill>
            <w14:schemeClr w14:val="tx1"/>
          </w14:solidFill>
        </w14:textFill>
      </w:rPr>
    </w:lvl>
    <w:lvl w:ilvl="2" w:tentative="0">
      <w:start w:val="1"/>
      <w:numFmt w:val="decimal"/>
      <w:suff w:val="space"/>
      <w:lvlText w:val="%1.%2.%3"/>
      <w:lvlJc w:val="left"/>
      <w:pPr>
        <w:ind w:left="0" w:firstLine="0"/>
      </w:pPr>
      <w:rPr>
        <w:rFonts w:hint="default" w:ascii="Times New Roman" w:hAnsi="Times New Roman" w:eastAsia="黑体"/>
        <w:b w:val="0"/>
        <w:i w:val="0"/>
        <w:color w:val="000000" w:themeColor="text1"/>
        <w:sz w:val="28"/>
        <w14:textFill>
          <w14:solidFill>
            <w14:schemeClr w14:val="tx1"/>
          </w14:solidFill>
        </w14:textFill>
      </w:rPr>
    </w:lvl>
    <w:lvl w:ilvl="3" w:tentative="0">
      <w:start w:val="1"/>
      <w:numFmt w:val="decimal"/>
      <w:suff w:val="space"/>
      <w:lvlText w:val="%1.%2.%3.%4"/>
      <w:lvlJc w:val="left"/>
      <w:pPr>
        <w:ind w:left="0" w:firstLine="0"/>
      </w:pPr>
      <w:rPr>
        <w:rFonts w:hint="default" w:ascii="Times New Roman" w:hAnsi="Times New Roman" w:eastAsia="黑体"/>
        <w:b w:val="0"/>
        <w:i w:val="0"/>
        <w:color w:val="000000" w:themeColor="text1"/>
        <w:sz w:val="24"/>
        <w14:textFill>
          <w14:solidFill>
            <w14:schemeClr w14:val="tx1"/>
          </w14:solidFill>
        </w14:textFill>
      </w:rPr>
    </w:lvl>
    <w:lvl w:ilvl="4" w:tentative="0">
      <w:start w:val="1"/>
      <w:numFmt w:val="decimal"/>
      <w:lvlRestart w:val="2"/>
      <w:suff w:val="space"/>
      <w:lvlText w:val="表%1.%2-%5"/>
      <w:lvlJc w:val="center"/>
      <w:pPr>
        <w:ind w:left="0" w:firstLine="0"/>
      </w:pPr>
      <w:rPr>
        <w:rFonts w:hint="default" w:ascii="Times New Roman" w:hAnsi="Times New Roman" w:eastAsia="宋体"/>
        <w:b/>
        <w:i w:val="0"/>
        <w:color w:val="000000" w:themeColor="text1"/>
        <w:sz w:val="21"/>
        <w14:textFill>
          <w14:solidFill>
            <w14:schemeClr w14:val="tx1"/>
          </w14:solidFill>
        </w14:textFill>
      </w:rPr>
    </w:lvl>
    <w:lvl w:ilvl="5" w:tentative="0">
      <w:start w:val="1"/>
      <w:numFmt w:val="decimal"/>
      <w:lvlRestart w:val="2"/>
      <w:pStyle w:val="6"/>
      <w:suff w:val="space"/>
      <w:lvlText w:val="图%1.%2-%6"/>
      <w:lvlJc w:val="center"/>
      <w:pPr>
        <w:ind w:left="0" w:firstLine="0"/>
      </w:pPr>
      <w:rPr>
        <w:rFonts w:hint="default" w:ascii="Times New Roman" w:hAnsi="Times New Roman" w:eastAsia="宋体"/>
        <w:b/>
        <w:i w:val="0"/>
        <w:color w:val="000000" w:themeColor="text1"/>
        <w:sz w:val="21"/>
        <w14:textFill>
          <w14:solidFill>
            <w14:schemeClr w14:val="tx1"/>
          </w14:solidFill>
        </w14:textFill>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displayBackgroundShape w:val="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N2FkZDcxMmY1ODkyYWM0YmY3NmJkN2YzNDIwZWYifQ=="/>
  </w:docVars>
  <w:rsids>
    <w:rsidRoot w:val="00172A27"/>
    <w:rsid w:val="00000F8F"/>
    <w:rsid w:val="0003302C"/>
    <w:rsid w:val="00037358"/>
    <w:rsid w:val="00071F31"/>
    <w:rsid w:val="000853B6"/>
    <w:rsid w:val="000B5044"/>
    <w:rsid w:val="000B75CA"/>
    <w:rsid w:val="001059CB"/>
    <w:rsid w:val="001246C0"/>
    <w:rsid w:val="001502D9"/>
    <w:rsid w:val="00172A27"/>
    <w:rsid w:val="00176E0D"/>
    <w:rsid w:val="001A150B"/>
    <w:rsid w:val="001D30F7"/>
    <w:rsid w:val="001D5C96"/>
    <w:rsid w:val="001F6B3A"/>
    <w:rsid w:val="00220DEF"/>
    <w:rsid w:val="00244B3C"/>
    <w:rsid w:val="00250F3A"/>
    <w:rsid w:val="002B5333"/>
    <w:rsid w:val="002E2BD7"/>
    <w:rsid w:val="002F3EDB"/>
    <w:rsid w:val="00336C96"/>
    <w:rsid w:val="003540F1"/>
    <w:rsid w:val="00364596"/>
    <w:rsid w:val="00376848"/>
    <w:rsid w:val="00384509"/>
    <w:rsid w:val="0039471E"/>
    <w:rsid w:val="003B728E"/>
    <w:rsid w:val="003C0E55"/>
    <w:rsid w:val="003E352C"/>
    <w:rsid w:val="00407B32"/>
    <w:rsid w:val="00423724"/>
    <w:rsid w:val="00423AA6"/>
    <w:rsid w:val="0042694F"/>
    <w:rsid w:val="00441F81"/>
    <w:rsid w:val="004A1AAE"/>
    <w:rsid w:val="004B0926"/>
    <w:rsid w:val="004E5FBB"/>
    <w:rsid w:val="004F1691"/>
    <w:rsid w:val="004F781E"/>
    <w:rsid w:val="00515F56"/>
    <w:rsid w:val="00521D2D"/>
    <w:rsid w:val="00544C46"/>
    <w:rsid w:val="00550434"/>
    <w:rsid w:val="005512E2"/>
    <w:rsid w:val="005A60FC"/>
    <w:rsid w:val="005C2546"/>
    <w:rsid w:val="005C3049"/>
    <w:rsid w:val="006034E0"/>
    <w:rsid w:val="00634A87"/>
    <w:rsid w:val="00635410"/>
    <w:rsid w:val="006404DA"/>
    <w:rsid w:val="006718A0"/>
    <w:rsid w:val="0070065B"/>
    <w:rsid w:val="007129B0"/>
    <w:rsid w:val="00730D09"/>
    <w:rsid w:val="00760BB1"/>
    <w:rsid w:val="00762A14"/>
    <w:rsid w:val="00774F3D"/>
    <w:rsid w:val="007A19B5"/>
    <w:rsid w:val="007B31E9"/>
    <w:rsid w:val="007E1DE3"/>
    <w:rsid w:val="00816CF8"/>
    <w:rsid w:val="008174A5"/>
    <w:rsid w:val="00824D28"/>
    <w:rsid w:val="0083366D"/>
    <w:rsid w:val="00843949"/>
    <w:rsid w:val="00861DE8"/>
    <w:rsid w:val="008736C9"/>
    <w:rsid w:val="00876DD1"/>
    <w:rsid w:val="008F42CB"/>
    <w:rsid w:val="00970AD3"/>
    <w:rsid w:val="009753BE"/>
    <w:rsid w:val="00995698"/>
    <w:rsid w:val="009A6500"/>
    <w:rsid w:val="009E1C21"/>
    <w:rsid w:val="00A21E80"/>
    <w:rsid w:val="00A46D54"/>
    <w:rsid w:val="00A96849"/>
    <w:rsid w:val="00AA0CD7"/>
    <w:rsid w:val="00AD745A"/>
    <w:rsid w:val="00B23618"/>
    <w:rsid w:val="00B77A1A"/>
    <w:rsid w:val="00BA12F6"/>
    <w:rsid w:val="00BA148D"/>
    <w:rsid w:val="00BB61B9"/>
    <w:rsid w:val="00BC77C5"/>
    <w:rsid w:val="00BE4D50"/>
    <w:rsid w:val="00BF3F64"/>
    <w:rsid w:val="00C42BC7"/>
    <w:rsid w:val="00C45434"/>
    <w:rsid w:val="00C60963"/>
    <w:rsid w:val="00C8080F"/>
    <w:rsid w:val="00C8787B"/>
    <w:rsid w:val="00C92CB8"/>
    <w:rsid w:val="00C95464"/>
    <w:rsid w:val="00CA6C04"/>
    <w:rsid w:val="00CC3A1D"/>
    <w:rsid w:val="00CF72F3"/>
    <w:rsid w:val="00D72681"/>
    <w:rsid w:val="00E65D26"/>
    <w:rsid w:val="00E70FD8"/>
    <w:rsid w:val="00EE63D3"/>
    <w:rsid w:val="00F455AE"/>
    <w:rsid w:val="00F80CBC"/>
    <w:rsid w:val="00FA6BD5"/>
    <w:rsid w:val="00FC223B"/>
    <w:rsid w:val="00FC2F05"/>
    <w:rsid w:val="00FC61D5"/>
    <w:rsid w:val="00FD2B30"/>
    <w:rsid w:val="018B3FDB"/>
    <w:rsid w:val="0246018B"/>
    <w:rsid w:val="053234EE"/>
    <w:rsid w:val="066409E8"/>
    <w:rsid w:val="06A962E9"/>
    <w:rsid w:val="08975A8F"/>
    <w:rsid w:val="08F401B9"/>
    <w:rsid w:val="09583DB8"/>
    <w:rsid w:val="0A6A061F"/>
    <w:rsid w:val="0C0524C2"/>
    <w:rsid w:val="10D27260"/>
    <w:rsid w:val="1104441E"/>
    <w:rsid w:val="123C6FFD"/>
    <w:rsid w:val="12624F64"/>
    <w:rsid w:val="13566846"/>
    <w:rsid w:val="13917D31"/>
    <w:rsid w:val="149C6C87"/>
    <w:rsid w:val="15AB5D42"/>
    <w:rsid w:val="181E6A95"/>
    <w:rsid w:val="1C1C60F4"/>
    <w:rsid w:val="1D4B5A83"/>
    <w:rsid w:val="1F097518"/>
    <w:rsid w:val="1F705BF6"/>
    <w:rsid w:val="206E7EB6"/>
    <w:rsid w:val="208C3DA4"/>
    <w:rsid w:val="2152349B"/>
    <w:rsid w:val="2401132C"/>
    <w:rsid w:val="250D4127"/>
    <w:rsid w:val="25C91D49"/>
    <w:rsid w:val="25E63530"/>
    <w:rsid w:val="26AE1809"/>
    <w:rsid w:val="277C3F74"/>
    <w:rsid w:val="287C5F29"/>
    <w:rsid w:val="2A2A764E"/>
    <w:rsid w:val="2B6A58C4"/>
    <w:rsid w:val="2C1929A8"/>
    <w:rsid w:val="2D0B3D0D"/>
    <w:rsid w:val="2D7D60A6"/>
    <w:rsid w:val="2EC11CCA"/>
    <w:rsid w:val="319421D6"/>
    <w:rsid w:val="31CE4C0D"/>
    <w:rsid w:val="32E8196D"/>
    <w:rsid w:val="35C252E1"/>
    <w:rsid w:val="36E3299F"/>
    <w:rsid w:val="37EC5813"/>
    <w:rsid w:val="3A1253E0"/>
    <w:rsid w:val="3AF444F2"/>
    <w:rsid w:val="3C825EBD"/>
    <w:rsid w:val="3D3C6336"/>
    <w:rsid w:val="3E607F4E"/>
    <w:rsid w:val="3F933B3F"/>
    <w:rsid w:val="40F556D5"/>
    <w:rsid w:val="41110232"/>
    <w:rsid w:val="413762C2"/>
    <w:rsid w:val="421C50AC"/>
    <w:rsid w:val="43122D21"/>
    <w:rsid w:val="43826BF5"/>
    <w:rsid w:val="43E46451"/>
    <w:rsid w:val="444422B8"/>
    <w:rsid w:val="47A4059F"/>
    <w:rsid w:val="48B25950"/>
    <w:rsid w:val="48D034B2"/>
    <w:rsid w:val="4B1C540E"/>
    <w:rsid w:val="4CD043EE"/>
    <w:rsid w:val="4E7905F3"/>
    <w:rsid w:val="4EFA1E9B"/>
    <w:rsid w:val="546258FD"/>
    <w:rsid w:val="56165263"/>
    <w:rsid w:val="562A22D1"/>
    <w:rsid w:val="56634D7A"/>
    <w:rsid w:val="575D2042"/>
    <w:rsid w:val="5A551126"/>
    <w:rsid w:val="5A657135"/>
    <w:rsid w:val="5D6D1AAD"/>
    <w:rsid w:val="5D88347F"/>
    <w:rsid w:val="5E103336"/>
    <w:rsid w:val="5F1A4722"/>
    <w:rsid w:val="5FAE23A6"/>
    <w:rsid w:val="605F5BDF"/>
    <w:rsid w:val="612D3EB7"/>
    <w:rsid w:val="627D17BD"/>
    <w:rsid w:val="63B411CD"/>
    <w:rsid w:val="63D14DD6"/>
    <w:rsid w:val="64DE372A"/>
    <w:rsid w:val="66C100A5"/>
    <w:rsid w:val="6828705D"/>
    <w:rsid w:val="6861608D"/>
    <w:rsid w:val="6A0B7AE2"/>
    <w:rsid w:val="6AA714CD"/>
    <w:rsid w:val="6B394ADC"/>
    <w:rsid w:val="6C5C7221"/>
    <w:rsid w:val="6EFF1677"/>
    <w:rsid w:val="6FF5674B"/>
    <w:rsid w:val="700D2B47"/>
    <w:rsid w:val="73A534C7"/>
    <w:rsid w:val="743D322C"/>
    <w:rsid w:val="77BC11E2"/>
    <w:rsid w:val="77D44C26"/>
    <w:rsid w:val="790C1C78"/>
    <w:rsid w:val="79A73D42"/>
    <w:rsid w:val="7B822BCA"/>
    <w:rsid w:val="7C70635B"/>
    <w:rsid w:val="7C9368F3"/>
    <w:rsid w:val="7D206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overflowPunct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19"/>
    <w:qFormat/>
    <w:uiPriority w:val="9"/>
    <w:pPr>
      <w:numPr>
        <w:ilvl w:val="0"/>
        <w:numId w:val="1"/>
      </w:numPr>
      <w:wordWrap/>
      <w:ind w:firstLineChars="0"/>
      <w:outlineLvl w:val="0"/>
    </w:pPr>
    <w:rPr>
      <w:b/>
      <w:bCs/>
      <w:kern w:val="44"/>
      <w:sz w:val="30"/>
      <w:szCs w:val="44"/>
    </w:rPr>
  </w:style>
  <w:style w:type="paragraph" w:styleId="3">
    <w:name w:val="heading 2"/>
    <w:basedOn w:val="1"/>
    <w:next w:val="1"/>
    <w:link w:val="20"/>
    <w:unhideWhenUsed/>
    <w:qFormat/>
    <w:uiPriority w:val="9"/>
    <w:pPr>
      <w:numPr>
        <w:ilvl w:val="1"/>
        <w:numId w:val="1"/>
      </w:numPr>
      <w:wordWrap/>
      <w:ind w:firstLineChars="0"/>
      <w:jc w:val="left"/>
      <w:outlineLvl w:val="1"/>
    </w:pPr>
    <w:rPr>
      <w:rFonts w:cstheme="majorBidi"/>
      <w:b/>
      <w:bCs/>
      <w:sz w:val="28"/>
      <w:szCs w:val="32"/>
    </w:rPr>
  </w:style>
  <w:style w:type="paragraph" w:styleId="4">
    <w:name w:val="heading 3"/>
    <w:basedOn w:val="1"/>
    <w:next w:val="1"/>
    <w:link w:val="21"/>
    <w:unhideWhenUsed/>
    <w:qFormat/>
    <w:uiPriority w:val="9"/>
    <w:pPr>
      <w:numPr>
        <w:ilvl w:val="2"/>
        <w:numId w:val="1"/>
      </w:numPr>
      <w:wordWrap/>
      <w:ind w:firstLineChars="0"/>
      <w:jc w:val="left"/>
      <w:outlineLvl w:val="2"/>
    </w:pPr>
    <w:rPr>
      <w:b/>
      <w:bCs/>
      <w:szCs w:val="32"/>
    </w:rPr>
  </w:style>
  <w:style w:type="paragraph" w:styleId="5">
    <w:name w:val="heading 4"/>
    <w:basedOn w:val="1"/>
    <w:next w:val="1"/>
    <w:link w:val="22"/>
    <w:unhideWhenUsed/>
    <w:qFormat/>
    <w:uiPriority w:val="9"/>
    <w:pPr>
      <w:wordWrap/>
      <w:spacing w:before="280" w:after="290" w:line="377" w:lineRule="auto"/>
      <w:outlineLvl w:val="3"/>
    </w:pPr>
    <w:rPr>
      <w:rFonts w:asciiTheme="majorHAnsi" w:hAnsiTheme="majorHAnsi" w:eastAsiaTheme="majorEastAsia" w:cstheme="majorBidi"/>
      <w:b/>
      <w:bCs/>
      <w:sz w:val="28"/>
      <w:szCs w:val="28"/>
    </w:rPr>
  </w:style>
  <w:style w:type="paragraph" w:styleId="6">
    <w:name w:val="heading 6"/>
    <w:basedOn w:val="1"/>
    <w:next w:val="1"/>
    <w:autoRedefine/>
    <w:unhideWhenUsed/>
    <w:qFormat/>
    <w:uiPriority w:val="9"/>
    <w:pPr>
      <w:keepNext/>
      <w:keepLines/>
      <w:numPr>
        <w:ilvl w:val="5"/>
        <w:numId w:val="2"/>
      </w:numPr>
      <w:spacing w:after="120"/>
      <w:jc w:val="center"/>
      <w:outlineLvl w:val="5"/>
    </w:pPr>
    <w:rPr>
      <w:rFonts w:eastAsiaTheme="majorEastAsia" w:cstheme="majorBidi"/>
      <w:b/>
      <w:bCs/>
      <w:color w:val="000000" w:themeColor="text1"/>
      <w:szCs w:val="24"/>
      <w14:textFill>
        <w14:solidFill>
          <w14:schemeClr w14:val="tx1"/>
        </w14:solidFill>
      </w14:textFill>
    </w:rPr>
  </w:style>
  <w:style w:type="character" w:default="1" w:styleId="17">
    <w:name w:val="Default Paragraph Font"/>
    <w:semiHidden/>
    <w:unhideWhenUsed/>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0"/>
    <w:pPr>
      <w:ind w:firstLine="420"/>
    </w:pPr>
  </w:style>
  <w:style w:type="paragraph" w:styleId="8">
    <w:name w:val="Body Text First Indent 2"/>
    <w:basedOn w:val="9"/>
    <w:next w:val="1"/>
    <w:autoRedefine/>
    <w:unhideWhenUsed/>
    <w:qFormat/>
    <w:uiPriority w:val="99"/>
    <w:pPr>
      <w:ind w:firstLine="420"/>
    </w:pPr>
  </w:style>
  <w:style w:type="paragraph" w:styleId="9">
    <w:name w:val="Body Text Indent"/>
    <w:basedOn w:val="1"/>
    <w:autoRedefine/>
    <w:unhideWhenUsed/>
    <w:qFormat/>
    <w:uiPriority w:val="0"/>
    <w:pPr>
      <w:spacing w:after="120"/>
      <w:ind w:left="420" w:leftChars="200"/>
    </w:pPr>
  </w:style>
  <w:style w:type="paragraph" w:styleId="10">
    <w:name w:val="Balloon Text"/>
    <w:basedOn w:val="1"/>
    <w:link w:val="30"/>
    <w:autoRedefine/>
    <w:semiHidden/>
    <w:unhideWhenUsed/>
    <w:qFormat/>
    <w:uiPriority w:val="99"/>
    <w:pPr>
      <w:spacing w:line="240" w:lineRule="auto"/>
    </w:pPr>
    <w:rPr>
      <w:sz w:val="18"/>
      <w:szCs w:val="18"/>
    </w:rPr>
  </w:style>
  <w:style w:type="paragraph" w:styleId="11">
    <w:name w:val="footer"/>
    <w:basedOn w:val="1"/>
    <w:link w:val="28"/>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pPr>
      <w:tabs>
        <w:tab w:val="right" w:leader="dot" w:pos="8302"/>
      </w:tabs>
      <w:spacing w:line="480" w:lineRule="auto"/>
      <w:ind w:firstLine="0" w:firstLineChars="0"/>
      <w:jc w:val="center"/>
    </w:pPr>
    <w:rPr>
      <w:b/>
      <w:szCs w:val="30"/>
    </w:rPr>
  </w:style>
  <w:style w:type="paragraph" w:styleId="14">
    <w:name w:val="toc 2"/>
    <w:basedOn w:val="1"/>
    <w:next w:val="1"/>
    <w:unhideWhenUsed/>
    <w:qFormat/>
    <w:uiPriority w:val="39"/>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customStyle="1" w:styleId="19">
    <w:name w:val="标题 1 字符"/>
    <w:basedOn w:val="17"/>
    <w:link w:val="2"/>
    <w:qFormat/>
    <w:uiPriority w:val="9"/>
    <w:rPr>
      <w:rFonts w:ascii="Times New Roman" w:hAnsi="Times New Roman" w:eastAsia="宋体"/>
      <w:b/>
      <w:bCs/>
      <w:kern w:val="44"/>
      <w:sz w:val="30"/>
      <w:szCs w:val="44"/>
    </w:rPr>
  </w:style>
  <w:style w:type="character" w:customStyle="1" w:styleId="20">
    <w:name w:val="标题 2 字符"/>
    <w:basedOn w:val="17"/>
    <w:link w:val="3"/>
    <w:qFormat/>
    <w:uiPriority w:val="9"/>
    <w:rPr>
      <w:rFonts w:ascii="Times New Roman" w:hAnsi="Times New Roman" w:eastAsia="宋体" w:cstheme="majorBidi"/>
      <w:b/>
      <w:bCs/>
      <w:sz w:val="28"/>
      <w:szCs w:val="32"/>
    </w:rPr>
  </w:style>
  <w:style w:type="character" w:customStyle="1" w:styleId="21">
    <w:name w:val="标题 3 字符"/>
    <w:basedOn w:val="17"/>
    <w:link w:val="4"/>
    <w:qFormat/>
    <w:uiPriority w:val="9"/>
    <w:rPr>
      <w:rFonts w:ascii="Times New Roman" w:hAnsi="Times New Roman" w:eastAsia="宋体"/>
      <w:b/>
      <w:bCs/>
      <w:sz w:val="24"/>
      <w:szCs w:val="32"/>
    </w:rPr>
  </w:style>
  <w:style w:type="character" w:customStyle="1" w:styleId="22">
    <w:name w:val="标题 4 字符"/>
    <w:basedOn w:val="17"/>
    <w:link w:val="5"/>
    <w:autoRedefine/>
    <w:qFormat/>
    <w:uiPriority w:val="9"/>
    <w:rPr>
      <w:rFonts w:asciiTheme="majorHAnsi" w:hAnsiTheme="majorHAnsi" w:eastAsiaTheme="majorEastAsia" w:cstheme="majorBidi"/>
      <w:b/>
      <w:bCs/>
      <w:sz w:val="28"/>
      <w:szCs w:val="28"/>
    </w:rPr>
  </w:style>
  <w:style w:type="paragraph" w:customStyle="1" w:styleId="23">
    <w:name w:val="图片序号"/>
    <w:basedOn w:val="5"/>
    <w:link w:val="25"/>
    <w:qFormat/>
    <w:uiPriority w:val="0"/>
    <w:pPr>
      <w:numPr>
        <w:ilvl w:val="3"/>
        <w:numId w:val="1"/>
      </w:numPr>
      <w:spacing w:before="0" w:after="0" w:line="360" w:lineRule="auto"/>
      <w:ind w:firstLineChars="0"/>
      <w:jc w:val="center"/>
    </w:pPr>
    <w:rPr>
      <w:rFonts w:ascii="Times New Roman" w:hAnsi="Times New Roman" w:eastAsia="黑体"/>
      <w:sz w:val="21"/>
    </w:rPr>
  </w:style>
  <w:style w:type="paragraph" w:customStyle="1" w:styleId="24">
    <w:name w:val="图片居中格式"/>
    <w:basedOn w:val="1"/>
    <w:link w:val="26"/>
    <w:autoRedefine/>
    <w:qFormat/>
    <w:uiPriority w:val="0"/>
    <w:pPr>
      <w:kinsoku w:val="0"/>
      <w:wordWrap/>
      <w:autoSpaceDE w:val="0"/>
      <w:autoSpaceDN w:val="0"/>
      <w:ind w:firstLine="0" w:firstLineChars="0"/>
      <w:jc w:val="center"/>
    </w:pPr>
  </w:style>
  <w:style w:type="character" w:customStyle="1" w:styleId="25">
    <w:name w:val="图片序号 字符"/>
    <w:basedOn w:val="22"/>
    <w:link w:val="23"/>
    <w:qFormat/>
    <w:uiPriority w:val="0"/>
    <w:rPr>
      <w:rFonts w:ascii="Times New Roman" w:hAnsi="Times New Roman" w:eastAsia="黑体" w:cstheme="majorBidi"/>
      <w:sz w:val="28"/>
      <w:szCs w:val="28"/>
    </w:rPr>
  </w:style>
  <w:style w:type="character" w:customStyle="1" w:styleId="26">
    <w:name w:val="图片居中格式 字符"/>
    <w:basedOn w:val="25"/>
    <w:link w:val="24"/>
    <w:autoRedefine/>
    <w:qFormat/>
    <w:uiPriority w:val="0"/>
    <w:rPr>
      <w:rFonts w:ascii="Times New Roman" w:hAnsi="Times New Roman" w:eastAsia="宋体" w:cstheme="majorBidi"/>
      <w:b w:val="0"/>
      <w:bCs w:val="0"/>
      <w:sz w:val="24"/>
      <w:szCs w:val="28"/>
    </w:rPr>
  </w:style>
  <w:style w:type="character" w:customStyle="1" w:styleId="27">
    <w:name w:val="页眉 字符"/>
    <w:basedOn w:val="17"/>
    <w:link w:val="12"/>
    <w:qFormat/>
    <w:uiPriority w:val="99"/>
    <w:rPr>
      <w:rFonts w:ascii="Times New Roman" w:hAnsi="Times New Roman" w:eastAsia="宋体"/>
      <w:sz w:val="18"/>
      <w:szCs w:val="18"/>
    </w:rPr>
  </w:style>
  <w:style w:type="character" w:customStyle="1" w:styleId="28">
    <w:name w:val="页脚 字符"/>
    <w:basedOn w:val="17"/>
    <w:link w:val="11"/>
    <w:qFormat/>
    <w:uiPriority w:val="99"/>
    <w:rPr>
      <w:rFonts w:ascii="Times New Roman" w:hAnsi="Times New Roman" w:eastAsia="宋体"/>
      <w:sz w:val="18"/>
      <w:szCs w:val="18"/>
    </w:rPr>
  </w:style>
  <w:style w:type="paragraph" w:customStyle="1" w:styleId="2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30">
    <w:name w:val="批注框文本 字符"/>
    <w:basedOn w:val="17"/>
    <w:link w:val="10"/>
    <w:semiHidden/>
    <w:uiPriority w:val="99"/>
    <w:rPr>
      <w:rFonts w:ascii="Times New Roman" w:hAnsi="Times New Roman" w:eastAsia="宋体"/>
      <w:kern w:val="2"/>
      <w:sz w:val="18"/>
      <w:szCs w:val="18"/>
    </w:rPr>
  </w:style>
  <w:style w:type="paragraph" w:customStyle="1" w:styleId="31">
    <w:name w:val="报告书正文"/>
    <w:basedOn w:val="1"/>
    <w:autoRedefine/>
    <w:qFormat/>
    <w:uiPriority w:val="0"/>
    <w:pPr>
      <w:adjustRightInd w:val="0"/>
      <w:snapToGrid w:val="0"/>
      <w:spacing w:line="360" w:lineRule="auto"/>
      <w:ind w:firstLine="20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E4C5D-DAFA-48C0-AB58-0EC62EFFBBD6}">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953</Words>
  <Characters>5436</Characters>
  <Lines>45</Lines>
  <Paragraphs>12</Paragraphs>
  <TotalTime>2</TotalTime>
  <ScaleCrop>false</ScaleCrop>
  <LinksUpToDate>false</LinksUpToDate>
  <CharactersWithSpaces>6377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2019-12-02T00:26:00Z</dcterms:created>
  <dc:creator>dell</dc:creator>
  <cp:lastModifiedBy>Administrator</cp:lastModifiedBy>
  <cp:lastPrinted>2021-09-15T03:07:00Z</cp:lastPrinted>
  <dcterms:modified xsi:type="dcterms:W3CDTF">2024-05-07T10:17:33Z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881A34785AE442858079322B11C1247F_12</vt:lpwstr>
  </property>
</Properties>
</file>