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7B" w:rsidRPr="00ED3F7B" w:rsidRDefault="00ED3F7B" w:rsidP="00ED3F7B">
      <w:pPr>
        <w:widowControl/>
        <w:spacing w:after="140"/>
        <w:jc w:val="left"/>
        <w:outlineLvl w:val="0"/>
        <w:rPr>
          <w:rFonts w:ascii="宋体" w:eastAsia="宋体" w:hAnsi="宋体" w:cs="宋体"/>
          <w:kern w:val="36"/>
          <w:sz w:val="22"/>
        </w:rPr>
      </w:pPr>
      <w:r w:rsidRPr="00ED3F7B">
        <w:rPr>
          <w:rFonts w:ascii="宋体" w:eastAsia="宋体" w:hAnsi="宋体" w:cs="宋体"/>
          <w:kern w:val="36"/>
          <w:sz w:val="22"/>
        </w:rPr>
        <w:t>共赴绿色之约，比亚迪叉车为自然发声</w:t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</w:p>
    <w:p w:rsidR="00ED3F7B" w:rsidRDefault="003B2537" w:rsidP="00ED3F7B">
      <w:pPr>
        <w:widowControl/>
        <w:jc w:val="center"/>
        <w:rPr>
          <w:rFonts w:ascii="宋体" w:eastAsia="宋体" w:hAnsi="宋体" w:cs="宋体"/>
          <w:noProof/>
          <w:color w:val="222222"/>
          <w:kern w:val="0"/>
          <w:sz w:val="17"/>
          <w:szCs w:val="17"/>
        </w:rPr>
      </w:pPr>
      <w:r>
        <w:rPr>
          <w:rFonts w:ascii="宋体" w:eastAsia="宋体" w:hAnsi="宋体" w:cs="宋体" w:hint="eastAsia"/>
          <w:noProof/>
          <w:color w:val="222222"/>
          <w:kern w:val="0"/>
          <w:sz w:val="17"/>
          <w:szCs w:val="17"/>
        </w:rPr>
        <w:drawing>
          <wp:inline distT="0" distB="0" distL="0" distR="0">
            <wp:extent cx="5274310" cy="3857625"/>
            <wp:effectExtent l="19050" t="0" r="2540" b="0"/>
            <wp:docPr id="11" name="图片 10" descr="微信图片_202303251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29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48" w:rsidRPr="00ED3F7B" w:rsidRDefault="00BA2548" w:rsidP="003B2537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t>2023年的“两会”已圆满落下帷幕，会上“绿色低碳”被诸多代表委员提及，并从行业角度给出了相关解决方案。而伴随着2030和2060双碳目标的日益临近，各行业如何打造绿色生产体系，构建绿色产业生态相信会成为愈发关注的焦点。</w:t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t>比亚迪叉车作为深耕新能源搬运领域多年的领军者之一，从旗下的诸多成功案例和项目经验来看，无论各行业未来绿色化、低碳化甚至零碳化解决方案如何设计，都需要先打造好绿色化未来的基础，即相关产线、设备的绿色化提升与改造。</w:t>
      </w:r>
    </w:p>
    <w:p w:rsidR="00ED3F7B" w:rsidRDefault="00BA2548" w:rsidP="00ED3F7B">
      <w:pPr>
        <w:widowControl/>
        <w:jc w:val="center"/>
        <w:rPr>
          <w:rFonts w:ascii="宋体" w:eastAsia="宋体" w:hAnsi="宋体" w:cs="宋体"/>
          <w:color w:val="222222"/>
          <w:kern w:val="0"/>
          <w:sz w:val="17"/>
          <w:szCs w:val="17"/>
        </w:rPr>
      </w:pPr>
      <w:r>
        <w:rPr>
          <w:rFonts w:ascii="宋体" w:eastAsia="宋体" w:hAnsi="宋体" w:cs="宋体" w:hint="eastAsia"/>
          <w:noProof/>
          <w:color w:val="222222"/>
          <w:kern w:val="0"/>
          <w:sz w:val="17"/>
          <w:szCs w:val="17"/>
        </w:rPr>
        <w:drawing>
          <wp:inline distT="0" distB="0" distL="0" distR="0">
            <wp:extent cx="5251450" cy="2381250"/>
            <wp:effectExtent l="19050" t="0" r="6350" b="0"/>
            <wp:docPr id="8" name="图片 7" descr="微信图片_2023032519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104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b/>
          <w:bCs/>
          <w:color w:val="222222"/>
          <w:kern w:val="0"/>
          <w:sz w:val="17"/>
        </w:rPr>
        <w:lastRenderedPageBreak/>
        <w:t>打牢绿色低碳基础 新能源设备是关键</w:t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在各行业的物流仓储环节与对头部、大型企业的观察中我们可以看到，近年来新能源锂电类产品，如叉车、AGV、智能搬运机器人等设备已逐步替代原有的内燃类产品，同时伴随仓储、产线数字化提升，更加精确的管理最大化的避免了产能“浪费”下的碳排放增加。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</w:r>
    </w:p>
    <w:p w:rsidR="00ED3F7B" w:rsidRDefault="00BA2548" w:rsidP="00ED3F7B">
      <w:pPr>
        <w:widowControl/>
        <w:jc w:val="center"/>
        <w:rPr>
          <w:rFonts w:ascii="宋体" w:eastAsia="宋体" w:hAnsi="宋体" w:cs="宋体"/>
          <w:noProof/>
          <w:color w:val="222222"/>
          <w:kern w:val="0"/>
          <w:sz w:val="17"/>
          <w:szCs w:val="17"/>
        </w:rPr>
      </w:pPr>
      <w:r>
        <w:rPr>
          <w:rFonts w:ascii="宋体" w:eastAsia="宋体" w:hAnsi="宋体" w:cs="宋体" w:hint="eastAsia"/>
          <w:noProof/>
          <w:color w:val="222222"/>
          <w:kern w:val="0"/>
          <w:sz w:val="17"/>
          <w:szCs w:val="17"/>
        </w:rPr>
        <w:drawing>
          <wp:inline distT="0" distB="0" distL="0" distR="0">
            <wp:extent cx="5274310" cy="3023235"/>
            <wp:effectExtent l="19050" t="0" r="2540" b="0"/>
            <wp:docPr id="9" name="图片 8" descr="微信图片_202303251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105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48" w:rsidRDefault="00ED3F7B" w:rsidP="00ED3F7B">
      <w:pPr>
        <w:widowControl/>
        <w:rPr>
          <w:rFonts w:ascii="宋体" w:eastAsia="宋体" w:hAnsi="宋体" w:cs="宋体"/>
          <w:noProof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而聚焦到行业中更广大的中小微型企业，受制于自身发展规模，虽依然有大部分企业仍使用内燃类搬运设备，但相当多的企业经营者表示“设备新能源化已列在企业发展日程上，且相较于仓储、产线数字化提升，设备新能源化其实更加迅速也更加‘实惠’，两者的整体成本核算相比下，企业更加容易接受。”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从以上不难看出，无论处于何种发展态势中的企业，其在绿色化或减碳、降碳进程中，均会优先从设备着手，再从小渐大、以点带面的完成未来部署。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为此，比亚迪叉车从全局出发，同时也是为满足各行业更广阔的新能源搬运需求，近年来不断“刀刃向内”，通过提工艺、降成本等多种方式，赋予市场和用户更具性价比的产品，以最新推出的EL/EL Pro系列电动平衡重式叉车为例，其专为国内市场和发展中国家开发，2.0-3.8T的吨位覆盖，适配于多场景的中轻工况下物流运转和堆垛作业；EL/EL Pro分别搭载比亚迪自主研发控制器和进口控制器，让用户在高性价比和高性能间有更加自由的选择空间；值得注意的是，最新推出的EL/EL Pro系列，通过技术、程序、控制系统等层面的优化，更是分别</w:t>
      </w:r>
      <w:r w:rsidR="00E8050B">
        <w:rPr>
          <w:rFonts w:ascii="宋体" w:eastAsia="宋体" w:hAnsi="宋体" w:cs="宋体"/>
          <w:color w:val="222222"/>
          <w:kern w:val="0"/>
          <w:sz w:val="17"/>
          <w:szCs w:val="17"/>
        </w:rPr>
        <w:t>降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lastRenderedPageBreak/>
        <w:t>低了20/25和30/35整车10%和20%的能耗。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</w:r>
      <w:r w:rsidR="00BA2548">
        <w:rPr>
          <w:rFonts w:ascii="宋体" w:eastAsia="宋体" w:hAnsi="宋体" w:cs="宋体" w:hint="eastAsia"/>
          <w:noProof/>
          <w:color w:val="222222"/>
          <w:kern w:val="0"/>
          <w:sz w:val="17"/>
          <w:szCs w:val="17"/>
        </w:rPr>
        <w:drawing>
          <wp:inline distT="0" distB="0" distL="0" distR="0">
            <wp:extent cx="5274310" cy="2468245"/>
            <wp:effectExtent l="19050" t="0" r="2540" b="0"/>
            <wp:docPr id="10" name="图片 9" descr="微信图片_202303251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11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比亚迪叉车希望通过这些努力和付出，真正做到“让利于民”，在求得共同发展的同时，帮助市场、用户打好实现双碳目标的基础。</w:t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b/>
          <w:bCs/>
          <w:color w:val="222222"/>
          <w:kern w:val="0"/>
          <w:sz w:val="17"/>
        </w:rPr>
        <w:t>探寻绿色低碳途径 目光放的“大”一些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当企业的绿色化基础牢固了，便可以加码更多减碳、降碳方案。以比亚迪叉车为例，近年来依托新能源搬运产品推出的融合5G、互联网、数字管理平台、车队管理系统等数字技术的绿色整体解决方案数不胜数，但探寻绿色低碳未来的途径并不是唯一，也没有终点，就好像“条条大路通罗马”，就在最新的比亚迪叉车经销商年会上，比亚迪叉车再次开辟和诠释了另一条赛道——大吨位叉车绿色化之路。之所以选择大吨位叉车绿色化之路，一方面是因为比亚迪叉车有着足够的技术积累，能够快速进入角色，发挥优势为市场和用户带去成熟的产品；另</w:t>
      </w:r>
      <w:r w:rsidR="003B2537">
        <w:rPr>
          <w:rFonts w:ascii="宋体" w:eastAsia="宋体" w:hAnsi="宋体" w:cs="宋体"/>
          <w:color w:val="222222"/>
          <w:kern w:val="0"/>
          <w:sz w:val="17"/>
          <w:szCs w:val="17"/>
        </w:rPr>
        <w:t>一方面则是因为市场和用户有着较大的需求，比如</w:t>
      </w:r>
      <w:r w:rsidR="003B2537" w:rsidRPr="000C584D">
        <w:rPr>
          <w:rFonts w:ascii="宋体" w:eastAsia="宋体" w:hAnsi="宋体" w:cs="宋体"/>
          <w:color w:val="FF0000"/>
          <w:kern w:val="0"/>
          <w:sz w:val="17"/>
          <w:szCs w:val="17"/>
        </w:rPr>
        <w:t>板材行业</w:t>
      </w:r>
      <w:r w:rsidR="003B2537">
        <w:rPr>
          <w:rFonts w:ascii="宋体" w:eastAsia="宋体" w:hAnsi="宋体" w:cs="宋体"/>
          <w:color w:val="222222"/>
          <w:kern w:val="0"/>
          <w:sz w:val="17"/>
          <w:szCs w:val="17"/>
        </w:rPr>
        <w:t>、重型制造、港</w:t>
      </w:r>
      <w:r w:rsidR="00E8050B">
        <w:rPr>
          <w:rFonts w:ascii="宋体" w:eastAsia="宋体" w:hAnsi="宋体" w:cs="宋体"/>
          <w:color w:val="222222"/>
          <w:kern w:val="0"/>
          <w:sz w:val="17"/>
          <w:szCs w:val="17"/>
        </w:rPr>
        <w:t>口运</w:t>
      </w:r>
      <w:r w:rsidR="00E8050B">
        <w:rPr>
          <w:rFonts w:ascii="宋体" w:eastAsia="宋体" w:hAnsi="宋体" w:cs="宋体" w:hint="eastAsia"/>
          <w:color w:val="222222"/>
          <w:kern w:val="0"/>
          <w:sz w:val="17"/>
          <w:szCs w:val="17"/>
        </w:rPr>
        <w:t>输</w:t>
      </w:r>
      <w:r w:rsidR="003B2537">
        <w:rPr>
          <w:rFonts w:ascii="宋体" w:eastAsia="宋体" w:hAnsi="宋体" w:cs="宋体" w:hint="eastAsia"/>
          <w:color w:val="222222"/>
          <w:kern w:val="0"/>
          <w:sz w:val="17"/>
          <w:szCs w:val="17"/>
        </w:rPr>
        <w:t>等</w:t>
      </w:r>
      <w:r w:rsidR="00E8050B">
        <w:rPr>
          <w:rFonts w:ascii="宋体" w:eastAsia="宋体" w:hAnsi="宋体" w:cs="宋体" w:hint="eastAsia"/>
          <w:color w:val="222222"/>
          <w:kern w:val="0"/>
          <w:sz w:val="17"/>
          <w:szCs w:val="17"/>
        </w:rPr>
        <w:t>领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t>域。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</w:r>
      <w:r w:rsidR="00E8050B">
        <w:rPr>
          <w:rFonts w:ascii="宋体" w:eastAsia="宋体" w:hAnsi="宋体" w:cs="宋体"/>
          <w:noProof/>
          <w:color w:val="222222"/>
          <w:kern w:val="0"/>
          <w:sz w:val="17"/>
          <w:szCs w:val="17"/>
        </w:rPr>
        <w:drawing>
          <wp:inline distT="0" distB="0" distL="0" distR="0">
            <wp:extent cx="5272865" cy="4038600"/>
            <wp:effectExtent l="19050" t="0" r="3985" b="0"/>
            <wp:docPr id="15" name="图片 14" descr="微信图片_202303251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40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37" w:rsidRPr="00ED3F7B" w:rsidRDefault="003B2537" w:rsidP="003B2537">
      <w:pPr>
        <w:widowControl/>
        <w:jc w:val="center"/>
        <w:rPr>
          <w:rFonts w:ascii="宋体" w:eastAsia="宋体" w:hAnsi="宋体" w:cs="宋体"/>
          <w:noProof/>
          <w:color w:val="222222"/>
          <w:kern w:val="0"/>
          <w:sz w:val="17"/>
          <w:szCs w:val="17"/>
        </w:rPr>
      </w:pPr>
      <w:r>
        <w:rPr>
          <w:rFonts w:ascii="宋体" w:eastAsia="宋体" w:hAnsi="宋体" w:cs="宋体" w:hint="eastAsia"/>
          <w:noProof/>
          <w:color w:val="222222"/>
          <w:kern w:val="0"/>
          <w:sz w:val="17"/>
          <w:szCs w:val="17"/>
        </w:rPr>
        <w:lastRenderedPageBreak/>
        <w:drawing>
          <wp:inline distT="0" distB="0" distL="0" distR="0">
            <wp:extent cx="5274310" cy="3957320"/>
            <wp:effectExtent l="19050" t="0" r="2540" b="0"/>
            <wp:docPr id="12" name="图片 11" descr="微信图片_202303251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31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7B" w:rsidRPr="00ED3F7B" w:rsidRDefault="00ED3F7B" w:rsidP="00ED3F7B">
      <w:pPr>
        <w:widowControl/>
        <w:rPr>
          <w:rFonts w:ascii="宋体" w:eastAsia="宋体" w:hAnsi="宋体" w:cs="宋体"/>
          <w:color w:val="222222"/>
          <w:kern w:val="0"/>
          <w:sz w:val="17"/>
          <w:szCs w:val="17"/>
        </w:rPr>
      </w:pP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比亚迪叉车认为，要将目光放的“大”一些，随着经济和世界供应链体系的逐步复苏，无论在制造业还是港口运输业都将面临订单量的上涨，随之而来的搬运需求和搬运产品升级换代需求也将呈上升之势。因此，比亚迪叉车先行先动，增大“零污染、零排放”的覆盖范围，通过打造大吨位新能源叉车，满足大吨位绿色需求，筑牢重型搬运领域减碳、降碳基础。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  <w:t>而未来，比亚迪叉车将始终输出优质的“绿色低碳”化仓储物流解决方案和产品，助力新时代下中国可持续化发展目标的达成，同时也将探索更多新的途径，助力各行业向着2030、2060双碳目标持续奋进。</w:t>
      </w:r>
      <w:r w:rsidRPr="00ED3F7B">
        <w:rPr>
          <w:rFonts w:ascii="宋体" w:eastAsia="宋体" w:hAnsi="宋体" w:cs="宋体"/>
          <w:color w:val="222222"/>
          <w:kern w:val="0"/>
          <w:sz w:val="17"/>
          <w:szCs w:val="17"/>
        </w:rPr>
        <w:br/>
      </w:r>
      <w:r w:rsidR="003B2537">
        <w:rPr>
          <w:rFonts w:ascii="宋体" w:eastAsia="宋体" w:hAnsi="宋体" w:cs="宋体"/>
          <w:noProof/>
          <w:color w:val="222222"/>
          <w:kern w:val="0"/>
          <w:sz w:val="17"/>
          <w:szCs w:val="17"/>
        </w:rPr>
        <w:drawing>
          <wp:inline distT="0" distB="0" distL="0" distR="0">
            <wp:extent cx="5130800" cy="2425700"/>
            <wp:effectExtent l="19050" t="0" r="0" b="0"/>
            <wp:docPr id="14" name="图片 13" descr="微信图片_202303251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251911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DB" w:rsidRPr="00ED3F7B" w:rsidRDefault="009D38DB"/>
    <w:sectPr w:rsidR="009D38DB" w:rsidRPr="00ED3F7B" w:rsidSect="00BA25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323" w:rsidRDefault="00C90323" w:rsidP="00BA2548">
      <w:r>
        <w:separator/>
      </w:r>
    </w:p>
  </w:endnote>
  <w:endnote w:type="continuationSeparator" w:id="1">
    <w:p w:rsidR="00C90323" w:rsidRDefault="00C90323" w:rsidP="00BA2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323" w:rsidRDefault="00C90323" w:rsidP="00BA2548">
      <w:r>
        <w:separator/>
      </w:r>
    </w:p>
  </w:footnote>
  <w:footnote w:type="continuationSeparator" w:id="1">
    <w:p w:rsidR="00C90323" w:rsidRDefault="00C90323" w:rsidP="00BA25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F7B"/>
    <w:rsid w:val="000C584D"/>
    <w:rsid w:val="003B2537"/>
    <w:rsid w:val="0048659D"/>
    <w:rsid w:val="005C2496"/>
    <w:rsid w:val="00954D90"/>
    <w:rsid w:val="009B0931"/>
    <w:rsid w:val="009D38DB"/>
    <w:rsid w:val="00BA2548"/>
    <w:rsid w:val="00C90323"/>
    <w:rsid w:val="00E8050B"/>
    <w:rsid w:val="00ED3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8D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D3F7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D3F7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ED3F7B"/>
  </w:style>
  <w:style w:type="character" w:styleId="a3">
    <w:name w:val="Hyperlink"/>
    <w:basedOn w:val="a0"/>
    <w:uiPriority w:val="99"/>
    <w:semiHidden/>
    <w:unhideWhenUsed/>
    <w:rsid w:val="00ED3F7B"/>
    <w:rPr>
      <w:color w:val="0000FF"/>
      <w:u w:val="single"/>
    </w:rPr>
  </w:style>
  <w:style w:type="character" w:styleId="a4">
    <w:name w:val="Emphasis"/>
    <w:basedOn w:val="a0"/>
    <w:uiPriority w:val="20"/>
    <w:qFormat/>
    <w:rsid w:val="00ED3F7B"/>
    <w:rPr>
      <w:i/>
      <w:iCs/>
    </w:rPr>
  </w:style>
  <w:style w:type="paragraph" w:styleId="a5">
    <w:name w:val="Normal (Web)"/>
    <w:basedOn w:val="a"/>
    <w:uiPriority w:val="99"/>
    <w:semiHidden/>
    <w:unhideWhenUsed/>
    <w:rsid w:val="00ED3F7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ED3F7B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ED3F7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ED3F7B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BA2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BA2548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BA25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BA25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2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7309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FA895-90D9-435D-9875-19EECA60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2023-03-25T11:07:00Z</dcterms:created>
  <dcterms:modified xsi:type="dcterms:W3CDTF">2023-03-25T11:59:00Z</dcterms:modified>
</cp:coreProperties>
</file>