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33" w:rightChars="-104"/>
        <w:jc w:val="both"/>
        <w:rPr>
          <w:rFonts w:hint="eastAsia" w:ascii="方正小标宋简体" w:eastAsia="方正小标宋简体"/>
          <w:sz w:val="44"/>
          <w:szCs w:val="44"/>
        </w:rPr>
      </w:pPr>
      <w:bookmarkStart w:id="21" w:name="_GoBack"/>
      <w:bookmarkEnd w:id="21"/>
    </w:p>
    <w:p>
      <w:pPr>
        <w:pStyle w:val="2"/>
        <w:rPr>
          <w:rFonts w:hint="eastAsia" w:ascii="方正小标宋简体" w:eastAsia="方正小标宋简体"/>
          <w:sz w:val="44"/>
          <w:szCs w:val="44"/>
        </w:rPr>
      </w:pPr>
    </w:p>
    <w:p>
      <w:pPr>
        <w:pStyle w:val="3"/>
        <w:rPr>
          <w:rFonts w:hint="eastAsia" w:ascii="方正小标宋简体" w:eastAsia="方正小标宋简体"/>
          <w:sz w:val="44"/>
          <w:szCs w:val="44"/>
        </w:rPr>
      </w:pPr>
    </w:p>
    <w:p>
      <w:pPr>
        <w:pStyle w:val="2"/>
        <w:rPr>
          <w:rFonts w:hint="eastAsia"/>
        </w:rPr>
      </w:pPr>
    </w:p>
    <w:p>
      <w:pPr>
        <w:pStyle w:val="3"/>
        <w:rPr>
          <w:rFonts w:hint="eastAsia"/>
        </w:rPr>
      </w:pPr>
    </w:p>
    <w:p>
      <w:pPr>
        <w:adjustRightInd w:val="0"/>
        <w:snapToGrid w:val="0"/>
        <w:spacing w:line="560" w:lineRule="exact"/>
        <w:ind w:right="-333" w:rightChars="-104"/>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right="-333" w:rightChars="-104"/>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广西绢麻纺织科学研究所有限公司</w:t>
      </w:r>
    </w:p>
    <w:p>
      <w:pPr>
        <w:keepNext w:val="0"/>
        <w:keepLines w:val="0"/>
        <w:pageBreakBefore w:val="0"/>
        <w:widowControl w:val="0"/>
        <w:kinsoku/>
        <w:wordWrap/>
        <w:overflowPunct/>
        <w:topLinePunct w:val="0"/>
        <w:autoSpaceDE/>
        <w:autoSpaceDN/>
        <w:bidi w:val="0"/>
        <w:adjustRightInd w:val="0"/>
        <w:snapToGrid w:val="0"/>
        <w:spacing w:line="360" w:lineRule="auto"/>
        <w:ind w:right="-333" w:rightChars="-104"/>
        <w:jc w:val="center"/>
        <w:textAlignment w:val="auto"/>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单位</w:t>
      </w:r>
      <w:r>
        <w:rPr>
          <w:rFonts w:hint="eastAsia" w:ascii="方正小标宋简体" w:hAnsi="方正小标宋简体" w:eastAsia="方正小标宋简体" w:cs="方正小标宋简体"/>
          <w:sz w:val="52"/>
          <w:szCs w:val="52"/>
        </w:rPr>
        <w:t>预算</w:t>
      </w: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hint="eastAsia" w:ascii="黑体" w:hAnsi="黑体" w:eastAsia="黑体"/>
          <w:sz w:val="36"/>
          <w:szCs w:val="36"/>
        </w:rPr>
      </w:pPr>
    </w:p>
    <w:p>
      <w:pPr>
        <w:adjustRightInd w:val="0"/>
        <w:snapToGrid w:val="0"/>
        <w:spacing w:line="600" w:lineRule="exact"/>
        <w:ind w:right="-333" w:rightChars="-104"/>
        <w:jc w:val="center"/>
        <w:rPr>
          <w:rFonts w:ascii="仿宋" w:hAnsi="仿宋" w:eastAsia="仿宋"/>
          <w:sz w:val="52"/>
          <w:szCs w:val="52"/>
        </w:rPr>
        <w:sectPr>
          <w:footerReference r:id="rId3" w:type="even"/>
          <w:type w:val="continuous"/>
          <w:pgSz w:w="11906" w:h="16838"/>
          <w:pgMar w:top="2098" w:right="1531" w:bottom="1417" w:left="1531" w:header="851" w:footer="1417" w:gutter="0"/>
          <w:pgNumType w:start="1"/>
          <w:cols w:space="720" w:num="1"/>
          <w:titlePg/>
        </w:sectPr>
      </w:pPr>
      <w:r>
        <w:rPr>
          <w:rFonts w:hint="eastAsia" w:ascii="黑体" w:hAnsi="黑体" w:eastAsia="黑体"/>
          <w:sz w:val="36"/>
          <w:szCs w:val="36"/>
        </w:rPr>
        <w:t>二○二</w:t>
      </w:r>
      <w:r>
        <w:rPr>
          <w:rFonts w:hint="eastAsia" w:ascii="黑体" w:hAnsi="黑体" w:eastAsia="黑体"/>
          <w:sz w:val="36"/>
          <w:szCs w:val="36"/>
          <w:lang w:eastAsia="zh-CN"/>
        </w:rPr>
        <w:t>四</w:t>
      </w:r>
      <w:r>
        <w:rPr>
          <w:rFonts w:hint="eastAsia" w:ascii="黑体" w:hAnsi="黑体" w:eastAsia="黑体"/>
          <w:sz w:val="36"/>
          <w:szCs w:val="36"/>
        </w:rPr>
        <w:t>年二月</w:t>
      </w:r>
    </w:p>
    <w:p>
      <w:pPr>
        <w:adjustRightInd w:val="0"/>
        <w:snapToGrid w:val="0"/>
        <w:spacing w:line="560" w:lineRule="exact"/>
        <w:ind w:right="-333" w:rightChars="-104"/>
        <w:jc w:val="center"/>
        <w:rPr>
          <w:rFonts w:hint="eastAsia" w:ascii="黑体" w:hAnsi="宋体" w:eastAsia="黑体"/>
          <w:bCs/>
          <w:szCs w:val="32"/>
        </w:rPr>
      </w:pPr>
      <w:r>
        <w:rPr>
          <w:rFonts w:hint="eastAsia" w:ascii="黑体" w:hAnsi="宋体" w:eastAsia="黑体"/>
          <w:bCs/>
          <w:szCs w:val="32"/>
        </w:rPr>
        <w:br w:type="page"/>
      </w:r>
      <w:r>
        <w:rPr>
          <w:rFonts w:hint="eastAsia" w:ascii="黑体" w:hAnsi="宋体" w:eastAsia="黑体"/>
          <w:bCs/>
          <w:szCs w:val="32"/>
        </w:rPr>
        <w:t>目  录</w:t>
      </w: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r>
        <w:rPr>
          <w:rFonts w:hint="eastAsia" w:ascii="黑体" w:hAnsi="宋体" w:eastAsia="黑体"/>
          <w:bCs/>
          <w:szCs w:val="32"/>
        </w:rPr>
        <w:t>第一部分：</w:t>
      </w:r>
      <w:r>
        <w:rPr>
          <w:rFonts w:hint="eastAsia" w:ascii="黑体" w:hAnsi="宋体" w:eastAsia="黑体"/>
          <w:bCs/>
          <w:szCs w:val="32"/>
          <w:lang w:eastAsia="zh-CN"/>
        </w:rPr>
        <w:t>单位</w:t>
      </w:r>
      <w:r>
        <w:rPr>
          <w:rFonts w:hint="eastAsia" w:ascii="黑体" w:hAnsi="宋体" w:eastAsia="黑体"/>
          <w:bCs/>
          <w:szCs w:val="32"/>
        </w:rPr>
        <w:t>概况</w:t>
      </w: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r>
        <w:rPr>
          <w:rFonts w:hint="eastAsia" w:ascii="黑体" w:eastAsia="黑体"/>
          <w:szCs w:val="32"/>
        </w:rPr>
        <w:t>第二部分：</w:t>
      </w:r>
      <w:r>
        <w:rPr>
          <w:rFonts w:hint="eastAsia" w:ascii="黑体" w:hAnsi="宋体" w:eastAsia="黑体"/>
          <w:sz w:val="32"/>
          <w:szCs w:val="32"/>
          <w:lang w:val="en-US" w:eastAsia="zh-CN"/>
        </w:rPr>
        <w:t>广西绢麻纺织科学研究所有限公司</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eastAsia="黑体"/>
          <w:szCs w:val="32"/>
          <w:lang w:eastAsia="zh-CN"/>
        </w:rPr>
        <w:t>单位</w:t>
      </w:r>
      <w:r>
        <w:rPr>
          <w:rFonts w:hint="eastAsia" w:ascii="黑体" w:eastAsia="黑体"/>
          <w:szCs w:val="32"/>
        </w:rPr>
        <w:t>预算情况说明</w:t>
      </w: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r>
        <w:rPr>
          <w:rFonts w:hint="eastAsia" w:ascii="黑体" w:eastAsia="黑体"/>
          <w:szCs w:val="32"/>
        </w:rPr>
        <w:t>第三部分：名词解释</w:t>
      </w: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r>
        <w:rPr>
          <w:rFonts w:hint="eastAsia" w:ascii="黑体" w:hAnsi="宋体" w:eastAsia="黑体"/>
          <w:bCs/>
          <w:szCs w:val="32"/>
        </w:rPr>
        <w:t>第四部分：广西绢麻纺织科学研究所有限公司</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hAnsi="宋体" w:eastAsia="黑体"/>
          <w:szCs w:val="32"/>
          <w:lang w:eastAsia="zh-CN"/>
        </w:rPr>
        <w:t>单位</w:t>
      </w:r>
      <w:r>
        <w:rPr>
          <w:rFonts w:hint="eastAsia" w:ascii="黑体" w:eastAsia="黑体"/>
          <w:szCs w:val="32"/>
        </w:rPr>
        <w:t>预算</w:t>
      </w:r>
      <w:r>
        <w:rPr>
          <w:rFonts w:hint="eastAsia" w:ascii="黑体" w:eastAsia="黑体"/>
          <w:szCs w:val="32"/>
          <w:lang w:eastAsia="zh-CN"/>
        </w:rPr>
        <w:t>公开</w:t>
      </w:r>
      <w:r>
        <w:rPr>
          <w:rFonts w:hint="eastAsia" w:ascii="黑体" w:eastAsia="黑体"/>
          <w:szCs w:val="32"/>
        </w:rPr>
        <w:t>报表</w:t>
      </w: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pPr>
    </w:p>
    <w:p>
      <w:pPr>
        <w:adjustRightInd w:val="0"/>
        <w:snapToGrid w:val="0"/>
        <w:spacing w:line="560" w:lineRule="exact"/>
        <w:ind w:right="-333" w:rightChars="-104" w:firstLine="640" w:firstLineChars="200"/>
        <w:rPr>
          <w:rFonts w:hint="eastAsia" w:ascii="黑体" w:hAnsi="宋体" w:eastAsia="黑体"/>
          <w:bCs/>
          <w:szCs w:val="32"/>
        </w:rPr>
        <w:sectPr>
          <w:footerReference r:id="rId4" w:type="default"/>
          <w:footerReference r:id="rId5" w:type="even"/>
          <w:type w:val="continuous"/>
          <w:pgSz w:w="11906" w:h="16838"/>
          <w:pgMar w:top="2098" w:right="1417" w:bottom="1984" w:left="1587" w:header="851" w:footer="992" w:gutter="0"/>
          <w:pgNumType w:fmt="decimal" w:start="1"/>
          <w:cols w:space="720" w:num="1"/>
          <w:docGrid w:linePitch="634" w:charSpace="-2109"/>
        </w:sectPr>
      </w:pPr>
    </w:p>
    <w:p>
      <w:pPr>
        <w:adjustRightInd w:val="0"/>
        <w:snapToGrid w:val="0"/>
        <w:spacing w:line="560" w:lineRule="exact"/>
        <w:ind w:right="-333" w:rightChars="-104" w:firstLine="640" w:firstLineChars="200"/>
        <w:rPr>
          <w:rFonts w:hint="eastAsia" w:ascii="黑体" w:hAnsi="宋体" w:eastAsia="黑体"/>
          <w:bCs/>
          <w:szCs w:val="32"/>
        </w:rPr>
      </w:pPr>
      <w:r>
        <w:rPr>
          <w:rFonts w:hint="eastAsia" w:ascii="黑体" w:hAnsi="宋体" w:eastAsia="黑体"/>
          <w:bCs/>
          <w:szCs w:val="32"/>
        </w:rPr>
        <w:t>第一部分：</w:t>
      </w:r>
      <w:r>
        <w:rPr>
          <w:rFonts w:hint="eastAsia" w:ascii="黑体" w:hAnsi="宋体" w:eastAsia="黑体"/>
          <w:bCs/>
          <w:szCs w:val="32"/>
          <w:lang w:eastAsia="zh-CN"/>
        </w:rPr>
        <w:t>单位</w:t>
      </w:r>
      <w:r>
        <w:rPr>
          <w:rFonts w:hint="eastAsia" w:ascii="黑体" w:hAnsi="宋体" w:eastAsia="黑体"/>
          <w:bCs/>
          <w:szCs w:val="32"/>
        </w:rPr>
        <w:t>概况</w:t>
      </w:r>
    </w:p>
    <w:p>
      <w:pPr>
        <w:adjustRightInd w:val="0"/>
        <w:snapToGrid w:val="0"/>
        <w:spacing w:line="560" w:lineRule="exact"/>
        <w:ind w:right="-333" w:rightChars="-104" w:firstLine="640" w:firstLineChars="200"/>
        <w:rPr>
          <w:rFonts w:hint="eastAsia" w:ascii="黑体" w:hAnsi="宋体" w:eastAsia="黑体"/>
          <w:szCs w:val="32"/>
          <w:lang w:eastAsia="zh-CN"/>
        </w:rPr>
      </w:pPr>
      <w:r>
        <w:rPr>
          <w:rFonts w:hint="eastAsia" w:ascii="黑体" w:hAnsi="宋体" w:eastAsia="黑体"/>
          <w:bCs/>
          <w:szCs w:val="32"/>
        </w:rPr>
        <w:t>一</w:t>
      </w:r>
      <w:r>
        <w:rPr>
          <w:rFonts w:hint="eastAsia" w:ascii="黑体" w:hAnsi="宋体" w:eastAsia="黑体"/>
          <w:szCs w:val="32"/>
        </w:rPr>
        <w:t>、</w:t>
      </w:r>
      <w:r>
        <w:rPr>
          <w:rFonts w:hint="eastAsia" w:ascii="黑体" w:hAnsi="宋体" w:eastAsia="黑体"/>
          <w:szCs w:val="32"/>
          <w:lang w:eastAsia="zh-CN"/>
        </w:rPr>
        <w:t>单位主要职能</w:t>
      </w:r>
    </w:p>
    <w:p>
      <w:pPr>
        <w:snapToGrid w:val="0"/>
        <w:spacing w:line="600" w:lineRule="exact"/>
        <w:ind w:firstLine="640" w:firstLineChars="200"/>
        <w:rPr>
          <w:rFonts w:hint="eastAsia" w:ascii="仿宋_GB2312" w:hAnsi="宋体"/>
          <w:szCs w:val="32"/>
        </w:rPr>
      </w:pPr>
      <w:r>
        <w:rPr>
          <w:rFonts w:hint="eastAsia" w:ascii="仿宋_GB2312" w:hAnsi="宋体"/>
          <w:szCs w:val="32"/>
        </w:rPr>
        <w:t>广西绢麻纺织科学研究所有限公司（以下简称“本公司”）系经广西壮族自治区工商行政管理局注册，于2001年1月19日成立，取得（企）450000000004815（1-1）号企业法人营业执照，统一社会信用代码：914500004985013626。 2018年7月宏桂发〔2018〕93号文件将广西绢麻纺织科学研究所成建制划转广西壮族自治区化工研究院管理及组建广西化工研究院有限公司，公司制改制完成后属于广西化工研究院有限公司的独立核算的子公司，并成为宏桂集团下属的三级企业。2018年6月宏桂复〔2018〕46号批复广西绢麻纺织科学研究所公司制改制立项，分别完成公司制改制的清产核资、财务审计、资产评估批复后，按宏桂复〔2018〕201号文件的要求于2018年12月26日翻牌变更了工商注册登记， 翻牌变更后的单位名称为：广西绢麻纺织科学研究所有限公司，注册类型为有限责任公司（非自然人或控股的法人独资），注册资本金为人民币1959.86万元。住所：南宁市江南区亭洪路43号。法定代表人：陆敏兴。经济性质：有限责任公司（非自然人投资或控股的法人独资）。经营范围：纺织产品技术研究、开发、推广；科技咨询、技术服务及技术培训；家纺产品、丝绸产品、服装产品生产及销售；国内贸易；食品销售；期刊出版；设计、制作、代理、发布国内各类广告；会议、展览及相关服务；房地产租赁经营；停车场服务。（依法须经批准的项目，经相关部门批准后方可开展经营活动。）本公司营业期限为：长期。</w:t>
      </w:r>
    </w:p>
    <w:p>
      <w:pPr>
        <w:spacing w:line="560" w:lineRule="exact"/>
        <w:ind w:firstLine="640" w:firstLineChars="200"/>
        <w:rPr>
          <w:rFonts w:hint="eastAsia" w:ascii="黑体" w:hAnsi="宋体" w:eastAsia="黑体"/>
          <w:szCs w:val="32"/>
        </w:rPr>
      </w:pPr>
      <w:r>
        <w:rPr>
          <w:rFonts w:hint="eastAsia" w:ascii="黑体" w:hAnsi="宋体" w:eastAsia="黑体"/>
          <w:szCs w:val="32"/>
        </w:rPr>
        <w:t>二、机构设置情况</w:t>
      </w:r>
    </w:p>
    <w:p>
      <w:pPr>
        <w:snapToGrid w:val="0"/>
        <w:spacing w:line="600" w:lineRule="exact"/>
        <w:ind w:firstLine="640" w:firstLineChars="200"/>
        <w:rPr>
          <w:rFonts w:hint="eastAsia" w:ascii="仿宋_GB2312" w:hAnsi="宋体"/>
          <w:szCs w:val="32"/>
          <w:lang w:eastAsia="zh-CN"/>
        </w:rPr>
      </w:pPr>
      <w:r>
        <w:rPr>
          <w:rFonts w:hint="eastAsia" w:ascii="仿宋_GB2312" w:hAnsi="宋体"/>
          <w:szCs w:val="32"/>
        </w:rPr>
        <w:t>广西绢麻纺织科学研究所有限公司由以下职能管理部门构成：执行董事（总经理）、监事、党支部、副总经理、工会、生产部、物业管理部、销售部、财务部、技术开发部、编辑部、建房办。</w:t>
      </w: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pStyle w:val="2"/>
        <w:rPr>
          <w:rFonts w:hint="eastAsia"/>
        </w:rPr>
      </w:pPr>
    </w:p>
    <w:p>
      <w:pPr>
        <w:pStyle w:val="3"/>
        <w:rPr>
          <w:rFonts w:hint="eastAsia"/>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p>
    <w:p>
      <w:pPr>
        <w:snapToGrid w:val="0"/>
        <w:spacing w:line="600" w:lineRule="exact"/>
        <w:ind w:firstLine="640" w:firstLineChars="200"/>
        <w:rPr>
          <w:rFonts w:hint="eastAsia" w:ascii="黑体" w:eastAsia="黑体"/>
          <w:szCs w:val="32"/>
        </w:rPr>
      </w:pPr>
      <w:r>
        <w:rPr>
          <w:rFonts w:hint="eastAsia" w:ascii="黑体" w:eastAsia="黑体"/>
          <w:szCs w:val="32"/>
        </w:rPr>
        <w:t>第二部分：</w:t>
      </w:r>
      <w:r>
        <w:rPr>
          <w:rFonts w:hint="eastAsia" w:ascii="黑体" w:hAnsi="宋体" w:eastAsia="黑体"/>
          <w:szCs w:val="32"/>
          <w:lang w:val="en-US" w:eastAsia="zh-CN"/>
        </w:rPr>
        <w:t>广西绢麻纺织科学研究所有限公司</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eastAsia="黑体"/>
          <w:szCs w:val="32"/>
          <w:lang w:eastAsia="zh-CN"/>
        </w:rPr>
        <w:t>单位</w:t>
      </w:r>
      <w:r>
        <w:rPr>
          <w:rFonts w:hint="eastAsia" w:ascii="黑体" w:eastAsia="黑体"/>
          <w:szCs w:val="32"/>
        </w:rPr>
        <w:t>预算情况说明</w:t>
      </w:r>
    </w:p>
    <w:p>
      <w:pPr>
        <w:tabs>
          <w:tab w:val="center" w:pos="4475"/>
        </w:tabs>
        <w:spacing w:line="560" w:lineRule="exact"/>
        <w:ind w:firstLine="645"/>
        <w:rPr>
          <w:rFonts w:hint="eastAsia" w:ascii="黑体" w:eastAsia="黑体"/>
          <w:szCs w:val="32"/>
        </w:rPr>
      </w:pPr>
      <w:r>
        <w:rPr>
          <w:rFonts w:hint="eastAsia" w:ascii="黑体" w:eastAsia="黑体"/>
          <w:szCs w:val="32"/>
        </w:rPr>
        <w:t>一、</w:t>
      </w:r>
      <w:r>
        <w:rPr>
          <w:rFonts w:hint="eastAsia" w:ascii="黑体" w:eastAsia="黑体"/>
          <w:szCs w:val="32"/>
          <w:lang w:eastAsia="zh-CN"/>
        </w:rPr>
        <w:t>单位</w:t>
      </w:r>
      <w:r>
        <w:rPr>
          <w:rFonts w:hint="eastAsia" w:ascii="黑体" w:eastAsia="黑体"/>
          <w:szCs w:val="32"/>
        </w:rPr>
        <w:t>收支总体情况说明</w:t>
      </w:r>
    </w:p>
    <w:p>
      <w:pPr>
        <w:tabs>
          <w:tab w:val="center" w:pos="4475"/>
        </w:tabs>
        <w:spacing w:line="560" w:lineRule="exact"/>
        <w:ind w:firstLine="645"/>
        <w:rPr>
          <w:rFonts w:hint="default" w:ascii="仿宋_GB2312" w:eastAsia="仿宋_GB2312"/>
          <w:sz w:val="32"/>
          <w:szCs w:val="32"/>
          <w:lang w:val="en-US" w:eastAsia="zh-CN"/>
        </w:rPr>
      </w:pPr>
      <w:r>
        <w:rPr>
          <w:rFonts w:hint="eastAsia" w:ascii="仿宋_GB2312" w:hAnsi="宋体" w:eastAsia="仿宋_GB2312" w:cs="Times New Roman"/>
          <w:szCs w:val="32"/>
          <w:highlight w:val="none"/>
          <w:lang w:eastAsia="zh-CN"/>
        </w:rPr>
        <w:t>我</w:t>
      </w:r>
      <w:r>
        <w:rPr>
          <w:rFonts w:hint="eastAsia" w:ascii="仿宋_GB2312" w:hAnsi="宋体" w:cs="Times New Roman"/>
          <w:szCs w:val="32"/>
          <w:highlight w:val="none"/>
          <w:lang w:eastAsia="zh-CN"/>
        </w:rPr>
        <w:t>单位</w:t>
      </w:r>
      <w:r>
        <w:rPr>
          <w:rFonts w:hint="eastAsia" w:ascii="仿宋_GB2312" w:eastAsia="仿宋_GB2312"/>
          <w:sz w:val="32"/>
          <w:szCs w:val="32"/>
        </w:rPr>
        <w:t>总收入156.99万元</w:t>
      </w:r>
      <w:r>
        <w:rPr>
          <w:rFonts w:hint="eastAsia" w:ascii="仿宋_GB2312" w:eastAsia="仿宋_GB2312"/>
          <w:sz w:val="32"/>
          <w:szCs w:val="32"/>
          <w:lang w:eastAsia="zh-CN"/>
        </w:rPr>
        <w:t>，</w:t>
      </w:r>
      <w:r>
        <w:rPr>
          <w:rFonts w:hint="eastAsia" w:ascii="仿宋_GB2312" w:eastAsia="仿宋_GB2312"/>
          <w:sz w:val="32"/>
          <w:szCs w:val="32"/>
        </w:rPr>
        <w:t>总支出156.99万元</w:t>
      </w:r>
      <w:r>
        <w:rPr>
          <w:rFonts w:hint="eastAsia" w:ascii="仿宋_GB2312" w:eastAsia="仿宋_GB2312"/>
          <w:sz w:val="32"/>
          <w:szCs w:val="32"/>
          <w:highlight w:val="none"/>
          <w:lang w:eastAsia="zh-CN"/>
        </w:rPr>
        <w:t>（不含财政拨款上年未列支结转收支数）</w:t>
      </w:r>
      <w:r>
        <w:rPr>
          <w:rFonts w:hint="eastAsia" w:ascii="仿宋_GB2312" w:eastAsia="仿宋_GB2312"/>
          <w:sz w:val="32"/>
          <w:szCs w:val="32"/>
          <w:lang w:eastAsia="zh-CN"/>
        </w:rPr>
        <w:t>。</w:t>
      </w:r>
      <w:r>
        <w:rPr>
          <w:rFonts w:hint="eastAsia" w:ascii="仿宋_GB2312"/>
          <w:sz w:val="32"/>
          <w:szCs w:val="32"/>
          <w:lang w:eastAsia="zh-CN"/>
        </w:rPr>
        <w:t>总收入较上年增加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w:t>
      </w:r>
      <w:r>
        <w:rPr>
          <w:rFonts w:hint="eastAsia" w:ascii="仿宋_GB2312"/>
          <w:szCs w:val="32"/>
        </w:rPr>
        <w:t>。</w:t>
      </w:r>
      <w:r>
        <w:rPr>
          <w:rFonts w:hint="eastAsia" w:ascii="仿宋_GB2312"/>
          <w:szCs w:val="32"/>
          <w:lang w:eastAsia="zh-CN"/>
        </w:rPr>
        <w:t>总支出</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w:t>
      </w:r>
      <w:r>
        <w:rPr>
          <w:rFonts w:hint="eastAsia" w:ascii="仿宋_GB2312"/>
          <w:szCs w:val="32"/>
        </w:rPr>
        <w:t>。</w:t>
      </w:r>
    </w:p>
    <w:p>
      <w:pPr>
        <w:tabs>
          <w:tab w:val="center" w:pos="4475"/>
        </w:tabs>
        <w:spacing w:line="560" w:lineRule="exact"/>
        <w:ind w:firstLine="645"/>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收入包括一般公共预算拨款收入156.99</w:t>
      </w:r>
      <w:r>
        <w:rPr>
          <w:rFonts w:hint="eastAsia" w:ascii="仿宋_GB2312" w:cs="Times New Roman"/>
          <w:kern w:val="2"/>
          <w:sz w:val="32"/>
          <w:szCs w:val="32"/>
          <w:lang w:val="en-US" w:eastAsia="zh-CN" w:bidi="ar-SA"/>
        </w:rPr>
        <w:t>万元</w:t>
      </w:r>
      <w:r>
        <w:rPr>
          <w:rFonts w:hint="eastAsia" w:ascii="仿宋_GB2312" w:hAnsi="Times New Roman" w:eastAsia="仿宋_GB2312" w:cs="Times New Roman"/>
          <w:kern w:val="2"/>
          <w:sz w:val="32"/>
          <w:szCs w:val="32"/>
          <w:lang w:val="en-US" w:eastAsia="zh-CN" w:bidi="ar-SA"/>
        </w:rPr>
        <w:t>；支出包括社会保障和就业支出156.99</w:t>
      </w:r>
      <w:r>
        <w:rPr>
          <w:rFonts w:hint="eastAsia" w:ascii="仿宋_GB2312" w:cs="Times New Roman"/>
          <w:kern w:val="2"/>
          <w:sz w:val="32"/>
          <w:szCs w:val="32"/>
          <w:lang w:val="en-US" w:eastAsia="zh-CN" w:bidi="ar-SA"/>
        </w:rPr>
        <w:t>万元</w:t>
      </w:r>
      <w:r>
        <w:rPr>
          <w:rFonts w:hint="eastAsia" w:ascii="仿宋_GB2312" w:hAnsi="Times New Roman" w:eastAsia="仿宋_GB2312" w:cs="Times New Roman"/>
          <w:kern w:val="2"/>
          <w:sz w:val="32"/>
          <w:szCs w:val="32"/>
          <w:lang w:val="en-US" w:eastAsia="zh-CN" w:bidi="ar-SA"/>
        </w:rPr>
        <w:t>。</w:t>
      </w:r>
    </w:p>
    <w:p>
      <w:pPr>
        <w:tabs>
          <w:tab w:val="center" w:pos="4475"/>
        </w:tabs>
        <w:spacing w:line="560" w:lineRule="exact"/>
        <w:ind w:firstLine="645"/>
        <w:rPr>
          <w:rFonts w:hint="eastAsia" w:ascii="黑体" w:eastAsia="黑体"/>
          <w:szCs w:val="32"/>
        </w:rPr>
      </w:pPr>
      <w:r>
        <w:rPr>
          <w:rFonts w:hint="eastAsia" w:ascii="黑体" w:eastAsia="黑体"/>
          <w:szCs w:val="32"/>
        </w:rPr>
        <w:t>二、</w:t>
      </w:r>
      <w:r>
        <w:rPr>
          <w:rFonts w:hint="eastAsia" w:ascii="黑体" w:eastAsia="黑体"/>
          <w:szCs w:val="32"/>
          <w:lang w:eastAsia="zh-CN"/>
        </w:rPr>
        <w:t>单位</w:t>
      </w:r>
      <w:r>
        <w:rPr>
          <w:rFonts w:hint="eastAsia" w:ascii="黑体" w:eastAsia="黑体"/>
          <w:szCs w:val="32"/>
        </w:rPr>
        <w:t>收入总体情况说明</w:t>
      </w:r>
    </w:p>
    <w:p>
      <w:pPr>
        <w:tabs>
          <w:tab w:val="center" w:pos="4475"/>
        </w:tabs>
        <w:spacing w:line="560" w:lineRule="exact"/>
        <w:ind w:firstLine="645"/>
        <w:rPr>
          <w:rFonts w:hint="eastAsia" w:ascii="仿宋_GB2312"/>
          <w:sz w:val="32"/>
          <w:szCs w:val="32"/>
          <w:lang w:val="en-US" w:eastAsia="zh-CN"/>
        </w:rPr>
      </w:pPr>
      <w:r>
        <w:rPr>
          <w:rFonts w:hint="eastAsia" w:ascii="仿宋_GB2312" w:hAnsi="宋体" w:eastAsia="仿宋_GB2312" w:cs="Times New Roman"/>
          <w:szCs w:val="32"/>
          <w:highlight w:val="none"/>
          <w:lang w:eastAsia="zh-CN"/>
        </w:rPr>
        <w:t>我</w:t>
      </w:r>
      <w:r>
        <w:rPr>
          <w:rFonts w:hint="eastAsia" w:ascii="仿宋_GB2312" w:hAnsi="宋体" w:cs="Times New Roman"/>
          <w:szCs w:val="32"/>
          <w:highlight w:val="none"/>
          <w:lang w:eastAsia="zh-CN"/>
        </w:rPr>
        <w:t>单位</w:t>
      </w:r>
      <w:r>
        <w:rPr>
          <w:rFonts w:hint="eastAsia" w:ascii="仿宋_GB2312" w:eastAsia="仿宋_GB2312"/>
          <w:sz w:val="32"/>
          <w:szCs w:val="32"/>
          <w:highlight w:val="none"/>
        </w:rPr>
        <w:t>总收入156.99万元</w:t>
      </w:r>
      <w:r>
        <w:rPr>
          <w:rFonts w:hint="eastAsia" w:ascii="仿宋_GB2312"/>
          <w:sz w:val="32"/>
          <w:szCs w:val="32"/>
          <w:highlight w:val="none"/>
          <w:lang w:eastAsia="zh-CN"/>
        </w:rPr>
        <w:t>，</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%，主要原因是离退休人员补贴增加。收入主要包括：本年收入156.99万元，上年结转结余收入0万元。</w:t>
      </w:r>
    </w:p>
    <w:p>
      <w:pPr>
        <w:tabs>
          <w:tab w:val="center" w:pos="4475"/>
        </w:tabs>
        <w:spacing w:line="560" w:lineRule="exact"/>
        <w:ind w:firstLine="645"/>
        <w:rPr>
          <w:rFonts w:hint="eastAsia" w:ascii="黑体" w:eastAsia="黑体"/>
          <w:szCs w:val="32"/>
        </w:rPr>
      </w:pPr>
      <w:r>
        <w:rPr>
          <w:rFonts w:hint="eastAsia" w:ascii="黑体" w:eastAsia="黑体"/>
          <w:szCs w:val="32"/>
        </w:rPr>
        <w:t>三、</w:t>
      </w:r>
      <w:r>
        <w:rPr>
          <w:rFonts w:hint="eastAsia" w:ascii="黑体" w:eastAsia="黑体"/>
          <w:szCs w:val="32"/>
          <w:lang w:eastAsia="zh-CN"/>
        </w:rPr>
        <w:t>单位</w:t>
      </w:r>
      <w:r>
        <w:rPr>
          <w:rFonts w:hint="eastAsia" w:ascii="黑体" w:eastAsia="黑体"/>
          <w:szCs w:val="32"/>
        </w:rPr>
        <w:t>支出总体情况说明</w:t>
      </w:r>
    </w:p>
    <w:p>
      <w:pPr>
        <w:tabs>
          <w:tab w:val="center" w:pos="4475"/>
        </w:tabs>
        <w:spacing w:line="560" w:lineRule="exact"/>
        <w:ind w:firstLine="645"/>
        <w:rPr>
          <w:rFonts w:hint="eastAsia" w:ascii="黑体" w:eastAsia="黑体"/>
          <w:szCs w:val="32"/>
        </w:rPr>
      </w:pPr>
      <w:r>
        <w:rPr>
          <w:rFonts w:hint="eastAsia" w:ascii="仿宋_GB2312" w:hAnsi="宋体" w:eastAsia="仿宋_GB2312" w:cs="Times New Roman"/>
          <w:szCs w:val="32"/>
          <w:highlight w:val="none"/>
          <w:lang w:eastAsia="zh-CN"/>
        </w:rPr>
        <w:t>我</w:t>
      </w:r>
      <w:r>
        <w:rPr>
          <w:rFonts w:hint="eastAsia" w:ascii="仿宋_GB2312" w:hAnsi="宋体" w:cs="Times New Roman"/>
          <w:szCs w:val="32"/>
          <w:highlight w:val="none"/>
          <w:lang w:eastAsia="zh-CN"/>
        </w:rPr>
        <w:t>单位</w:t>
      </w:r>
      <w:r>
        <w:rPr>
          <w:rFonts w:hint="eastAsia" w:ascii="仿宋_GB2312" w:eastAsia="仿宋_GB2312"/>
          <w:sz w:val="32"/>
          <w:szCs w:val="32"/>
        </w:rPr>
        <w:t>总</w:t>
      </w:r>
      <w:r>
        <w:rPr>
          <w:rFonts w:hint="eastAsia" w:ascii="仿宋_GB2312"/>
          <w:sz w:val="32"/>
          <w:szCs w:val="32"/>
          <w:lang w:eastAsia="zh-CN"/>
        </w:rPr>
        <w:t>支出156.99</w:t>
      </w:r>
      <w:r>
        <w:rPr>
          <w:rFonts w:hint="eastAsia" w:ascii="仿宋_GB2312" w:eastAsia="仿宋_GB2312"/>
          <w:sz w:val="32"/>
          <w:szCs w:val="32"/>
        </w:rPr>
        <w:t>万元</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%，主要原因是离退休人员补贴增加。支出主要包括：</w:t>
      </w:r>
      <w:r>
        <w:rPr>
          <w:rFonts w:hint="eastAsia" w:ascii="仿宋_GB2312" w:hAnsi="宋体"/>
          <w:szCs w:val="32"/>
          <w:lang w:val="en-US" w:eastAsia="zh-CN"/>
        </w:rPr>
        <w:t>基本支出156.99万元，项目支出0万元</w:t>
      </w:r>
      <w:r>
        <w:rPr>
          <w:rFonts w:hint="eastAsia" w:ascii="仿宋_GB2312" w:hAnsi="宋体"/>
          <w:szCs w:val="32"/>
          <w:highlight w:val="none"/>
          <w:lang w:val="en-US" w:eastAsia="zh-CN"/>
        </w:rPr>
        <w:t>。</w:t>
      </w:r>
    </w:p>
    <w:p>
      <w:pPr>
        <w:tabs>
          <w:tab w:val="center" w:pos="4475"/>
        </w:tabs>
        <w:spacing w:line="560" w:lineRule="exact"/>
        <w:ind w:firstLine="645"/>
        <w:rPr>
          <w:rFonts w:hint="eastAsia" w:ascii="黑体" w:eastAsia="黑体"/>
          <w:szCs w:val="32"/>
        </w:rPr>
      </w:pPr>
      <w:r>
        <w:rPr>
          <w:rFonts w:hint="eastAsia" w:ascii="黑体" w:eastAsia="黑体"/>
          <w:szCs w:val="32"/>
        </w:rPr>
        <w:t>四、财政拨款收支总体情况说明</w:t>
      </w:r>
    </w:p>
    <w:p>
      <w:pPr>
        <w:tabs>
          <w:tab w:val="center" w:pos="4475"/>
        </w:tabs>
        <w:spacing w:line="560" w:lineRule="exact"/>
        <w:ind w:firstLine="645"/>
        <w:rPr>
          <w:rFonts w:hint="default" w:ascii="仿宋_GB2312"/>
          <w:sz w:val="32"/>
          <w:szCs w:val="32"/>
          <w:highlight w:val="none"/>
          <w:lang w:val="en-US" w:eastAsia="zh-CN"/>
        </w:rPr>
      </w:pPr>
      <w:r>
        <w:rPr>
          <w:rFonts w:hint="eastAsia" w:ascii="仿宋_GB2312" w:hAnsi="宋体" w:eastAsia="仿宋_GB2312" w:cs="Times New Roman"/>
          <w:szCs w:val="32"/>
          <w:highlight w:val="none"/>
          <w:lang w:eastAsia="zh-CN"/>
        </w:rPr>
        <w:t>我</w:t>
      </w:r>
      <w:r>
        <w:rPr>
          <w:rFonts w:hint="eastAsia" w:ascii="仿宋_GB2312" w:hAnsi="宋体" w:cs="Times New Roman"/>
          <w:szCs w:val="32"/>
          <w:highlight w:val="none"/>
          <w:lang w:eastAsia="zh-CN"/>
        </w:rPr>
        <w:t>单位</w:t>
      </w:r>
      <w:r>
        <w:rPr>
          <w:rFonts w:hint="eastAsia" w:ascii="仿宋_GB2312" w:eastAsia="仿宋_GB2312"/>
          <w:sz w:val="32"/>
          <w:szCs w:val="32"/>
        </w:rPr>
        <w:t>财政拨款</w:t>
      </w:r>
      <w:r>
        <w:rPr>
          <w:rFonts w:hint="eastAsia" w:ascii="仿宋_GB2312" w:eastAsia="仿宋_GB2312"/>
          <w:sz w:val="32"/>
          <w:szCs w:val="32"/>
          <w:lang w:eastAsia="zh-CN"/>
        </w:rPr>
        <w:t>总收入156.99</w:t>
      </w:r>
      <w:r>
        <w:rPr>
          <w:rFonts w:hint="eastAsia" w:ascii="仿宋_GB2312" w:eastAsia="仿宋_GB2312"/>
          <w:sz w:val="32"/>
          <w:szCs w:val="32"/>
          <w:lang w:val="en-US" w:eastAsia="zh-CN"/>
        </w:rPr>
        <w:t>万元，总支出156.99万元</w:t>
      </w:r>
      <w:r>
        <w:rPr>
          <w:rFonts w:hint="eastAsia" w:ascii="仿宋_GB2312" w:eastAsia="仿宋_GB2312"/>
          <w:sz w:val="32"/>
          <w:szCs w:val="32"/>
          <w:highlight w:val="none"/>
          <w:lang w:eastAsia="zh-CN"/>
        </w:rPr>
        <w:t>（不含财政拨款上年未列支结转收支数）</w:t>
      </w:r>
      <w:r>
        <w:rPr>
          <w:rFonts w:hint="eastAsia" w:ascii="仿宋_GB2312"/>
          <w:sz w:val="32"/>
          <w:szCs w:val="32"/>
          <w:highlight w:val="none"/>
          <w:lang w:eastAsia="zh-CN"/>
        </w:rPr>
        <w:t>。财政拨款总收入</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%，主要原因是离退休人员补贴增加。财政拨款总支出</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w:t>
      </w:r>
    </w:p>
    <w:p>
      <w:pPr>
        <w:tabs>
          <w:tab w:val="center" w:pos="4475"/>
        </w:tabs>
        <w:spacing w:line="560" w:lineRule="exact"/>
        <w:ind w:firstLine="645"/>
        <w:rPr>
          <w:rFonts w:hint="eastAsia" w:ascii="仿宋_GB2312" w:eastAsia="仿宋_GB2312"/>
          <w:sz w:val="32"/>
          <w:szCs w:val="32"/>
          <w:highlight w:val="none"/>
          <w:lang w:eastAsia="zh-CN"/>
        </w:rPr>
      </w:pPr>
      <w:r>
        <w:rPr>
          <w:rFonts w:hint="eastAsia" w:ascii="仿宋_GB2312" w:hAnsi="Times New Roman" w:eastAsia="仿宋_GB2312" w:cs="Times New Roman"/>
          <w:kern w:val="2"/>
          <w:sz w:val="32"/>
          <w:szCs w:val="32"/>
          <w:lang w:val="en-US" w:eastAsia="zh-CN" w:bidi="ar-SA"/>
        </w:rPr>
        <w:t>收入包括</w:t>
      </w:r>
      <w:r>
        <w:rPr>
          <w:rFonts w:hint="eastAsia" w:ascii="仿宋_GB2312" w:cs="Times New Roman"/>
          <w:kern w:val="2"/>
          <w:sz w:val="32"/>
          <w:szCs w:val="32"/>
          <w:lang w:val="en-US" w:eastAsia="zh-CN" w:bidi="ar-SA"/>
        </w:rPr>
        <w:t>本级财政拨款收入156.99万元</w:t>
      </w:r>
      <w:r>
        <w:rPr>
          <w:rFonts w:hint="eastAsia" w:ascii="仿宋_GB2312" w:hAnsi="Times New Roman" w:eastAsia="仿宋_GB2312" w:cs="Times New Roman"/>
          <w:kern w:val="2"/>
          <w:sz w:val="32"/>
          <w:szCs w:val="32"/>
          <w:lang w:val="en-US" w:eastAsia="zh-CN" w:bidi="ar-SA"/>
        </w:rPr>
        <w:t>；支出包括社会保障和就业支出156.99</w:t>
      </w:r>
      <w:r>
        <w:rPr>
          <w:rFonts w:hint="eastAsia" w:ascii="仿宋_GB2312" w:cs="Times New Roman"/>
          <w:kern w:val="2"/>
          <w:sz w:val="32"/>
          <w:szCs w:val="32"/>
          <w:lang w:val="en-US" w:eastAsia="zh-CN" w:bidi="ar-SA"/>
        </w:rPr>
        <w:t>万元</w:t>
      </w:r>
      <w:r>
        <w:rPr>
          <w:rFonts w:hint="eastAsia" w:ascii="仿宋_GB2312" w:hAnsi="Times New Roman" w:eastAsia="仿宋_GB2312" w:cs="Times New Roman"/>
          <w:kern w:val="2"/>
          <w:sz w:val="32"/>
          <w:szCs w:val="32"/>
          <w:lang w:val="en-US" w:eastAsia="zh-CN" w:bidi="ar-SA"/>
        </w:rPr>
        <w:t>。</w:t>
      </w:r>
    </w:p>
    <w:p>
      <w:pPr>
        <w:tabs>
          <w:tab w:val="center" w:pos="4475"/>
        </w:tabs>
        <w:spacing w:line="560" w:lineRule="exact"/>
        <w:ind w:firstLine="645"/>
        <w:rPr>
          <w:rFonts w:hint="eastAsia" w:ascii="黑体" w:eastAsia="黑体"/>
          <w:szCs w:val="32"/>
        </w:rPr>
      </w:pPr>
      <w:r>
        <w:rPr>
          <w:rFonts w:hint="eastAsia" w:ascii="黑体" w:eastAsia="黑体"/>
          <w:szCs w:val="32"/>
        </w:rPr>
        <w:t>五、一般公共预算支出情况说明</w:t>
      </w:r>
    </w:p>
    <w:p>
      <w:pPr>
        <w:tabs>
          <w:tab w:val="center" w:pos="4475"/>
        </w:tabs>
        <w:spacing w:line="560" w:lineRule="exact"/>
        <w:ind w:firstLine="645"/>
        <w:rPr>
          <w:rFonts w:hint="eastAsia" w:ascii="仿宋_GB2312"/>
          <w:sz w:val="32"/>
          <w:szCs w:val="32"/>
          <w:lang w:eastAsia="zh-CN"/>
        </w:rPr>
      </w:pPr>
      <w:r>
        <w:rPr>
          <w:rFonts w:hint="eastAsia" w:ascii="仿宋_GB2312"/>
          <w:sz w:val="32"/>
          <w:szCs w:val="32"/>
          <w:lang w:eastAsia="zh-CN"/>
        </w:rPr>
        <w:t>我单位</w:t>
      </w:r>
      <w:r>
        <w:rPr>
          <w:rFonts w:hint="eastAsia" w:ascii="仿宋_GB2312" w:eastAsia="仿宋_GB2312"/>
          <w:sz w:val="32"/>
          <w:szCs w:val="32"/>
        </w:rPr>
        <w:t>一般公共预算支出</w:t>
      </w:r>
      <w:r>
        <w:rPr>
          <w:rFonts w:hint="eastAsia" w:ascii="仿宋_GB2312" w:eastAsia="仿宋_GB2312"/>
          <w:sz w:val="32"/>
          <w:szCs w:val="32"/>
          <w:lang w:eastAsia="zh-CN"/>
        </w:rPr>
        <w:t>共156.99</w:t>
      </w:r>
      <w:r>
        <w:rPr>
          <w:rFonts w:hint="eastAsia" w:ascii="仿宋_GB2312" w:eastAsia="仿宋_GB2312"/>
          <w:sz w:val="32"/>
          <w:szCs w:val="32"/>
        </w:rPr>
        <w:t>万元，</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w:t>
      </w:r>
      <w:r>
        <w:rPr>
          <w:rFonts w:ascii="仿宋_GB2312" w:eastAsia="仿宋_GB2312"/>
          <w:sz w:val="32"/>
          <w:szCs w:val="32"/>
        </w:rPr>
        <w:t>中央提前下达202</w:t>
      </w:r>
      <w:r>
        <w:rPr>
          <w:rFonts w:hint="eastAsia" w:ascii="仿宋_GB2312" w:eastAsia="仿宋_GB2312"/>
          <w:sz w:val="32"/>
          <w:szCs w:val="32"/>
          <w:lang w:val="en-US" w:eastAsia="zh-CN"/>
        </w:rPr>
        <w:t>4</w:t>
      </w:r>
      <w:r>
        <w:rPr>
          <w:rFonts w:ascii="仿宋_GB2312" w:eastAsia="仿宋_GB2312"/>
          <w:sz w:val="32"/>
          <w:szCs w:val="32"/>
        </w:rPr>
        <w:t>年</w:t>
      </w:r>
      <w:r>
        <w:rPr>
          <w:rFonts w:hint="eastAsia" w:ascii="仿宋_GB2312" w:eastAsia="仿宋_GB2312"/>
          <w:sz w:val="32"/>
          <w:szCs w:val="32"/>
        </w:rPr>
        <w:t>一般公共预算</w:t>
      </w:r>
      <w:r>
        <w:rPr>
          <w:rFonts w:ascii="仿宋_GB2312" w:eastAsia="仿宋_GB2312"/>
          <w:sz w:val="32"/>
          <w:szCs w:val="32"/>
        </w:rPr>
        <w:t>转移支付资金安排的支出</w:t>
      </w:r>
      <w:r>
        <w:rPr>
          <w:rFonts w:hint="eastAsia" w:ascii="仿宋_GB2312"/>
          <w:sz w:val="32"/>
          <w:szCs w:val="32"/>
          <w:lang w:val="en-US" w:eastAsia="zh-CN"/>
        </w:rPr>
        <w:t>0</w:t>
      </w:r>
      <w:r>
        <w:rPr>
          <w:rFonts w:ascii="仿宋_GB2312" w:eastAsia="仿宋_GB2312"/>
          <w:sz w:val="32"/>
          <w:szCs w:val="32"/>
        </w:rPr>
        <w:t>万元</w:t>
      </w:r>
      <w:r>
        <w:rPr>
          <w:rFonts w:hint="eastAsia" w:ascii="仿宋_GB2312"/>
          <w:sz w:val="32"/>
          <w:szCs w:val="32"/>
          <w:lang w:eastAsia="zh-CN"/>
        </w:rPr>
        <w:t>。具体情况为：</w:t>
      </w:r>
    </w:p>
    <w:p>
      <w:pPr>
        <w:tabs>
          <w:tab w:val="center" w:pos="4475"/>
        </w:tabs>
        <w:spacing w:line="560" w:lineRule="exact"/>
        <w:ind w:firstLine="645"/>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208类社会保障和就业支出156.99万元，</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w:t>
      </w:r>
      <w:r>
        <w:rPr>
          <w:rFonts w:hint="eastAsia" w:ascii="仿宋_GB2312" w:hAnsi="Times New Roman" w:eastAsia="仿宋_GB2312" w:cs="Times New Roman"/>
          <w:kern w:val="2"/>
          <w:sz w:val="32"/>
          <w:szCs w:val="32"/>
          <w:lang w:val="en-US" w:eastAsia="zh-CN" w:bidi="ar-SA"/>
        </w:rPr>
        <w:t>。其中：</w:t>
      </w:r>
    </w:p>
    <w:p>
      <w:pPr>
        <w:tabs>
          <w:tab w:val="center" w:pos="4475"/>
        </w:tabs>
        <w:spacing w:line="560" w:lineRule="exact"/>
        <w:ind w:firstLine="645"/>
        <w:rPr>
          <w:rFonts w:hint="eastAsia" w:ascii="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2080502事业单位离退休</w:t>
      </w:r>
      <w:r>
        <w:rPr>
          <w:rFonts w:hint="eastAsia" w:ascii="仿宋_GB2312" w:cs="Times New Roman"/>
          <w:kern w:val="2"/>
          <w:sz w:val="32"/>
          <w:szCs w:val="32"/>
          <w:lang w:val="en-US" w:eastAsia="zh-CN" w:bidi="ar-SA"/>
        </w:rPr>
        <w:t>156.99</w:t>
      </w:r>
      <w:r>
        <w:rPr>
          <w:rFonts w:hint="eastAsia" w:ascii="仿宋_GB2312" w:hAnsi="Times New Roman" w:eastAsia="仿宋_GB2312" w:cs="Times New Roman"/>
          <w:kern w:val="2"/>
          <w:sz w:val="32"/>
          <w:szCs w:val="32"/>
          <w:lang w:val="en-US" w:eastAsia="zh-CN" w:bidi="ar-SA"/>
        </w:rPr>
        <w:t>万元，</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w:t>
      </w:r>
      <w:r>
        <w:rPr>
          <w:rFonts w:hint="eastAsia" w:ascii="仿宋_GB2312" w:cs="Times New Roman"/>
          <w:kern w:val="2"/>
          <w:sz w:val="32"/>
          <w:szCs w:val="32"/>
          <w:lang w:val="en-US" w:eastAsia="zh-CN" w:bidi="ar-SA"/>
        </w:rPr>
        <w:t>。</w:t>
      </w:r>
    </w:p>
    <w:p>
      <w:pPr>
        <w:tabs>
          <w:tab w:val="center" w:pos="4475"/>
        </w:tabs>
        <w:spacing w:line="560" w:lineRule="exact"/>
        <w:ind w:firstLine="645"/>
        <w:rPr>
          <w:rFonts w:hint="eastAsia" w:ascii="黑体" w:eastAsia="黑体"/>
          <w:szCs w:val="32"/>
        </w:rPr>
      </w:pPr>
      <w:r>
        <w:rPr>
          <w:rFonts w:hint="eastAsia" w:ascii="黑体" w:eastAsia="黑体"/>
          <w:szCs w:val="32"/>
        </w:rPr>
        <w:t>六、一般公共预算基本支出情况说明</w:t>
      </w:r>
    </w:p>
    <w:p>
      <w:pPr>
        <w:tabs>
          <w:tab w:val="center" w:pos="4475"/>
        </w:tabs>
        <w:spacing w:line="560" w:lineRule="exact"/>
        <w:ind w:firstLine="645"/>
        <w:rPr>
          <w:rFonts w:hint="eastAsia" w:ascii="仿宋_GB2312"/>
          <w:sz w:val="32"/>
          <w:szCs w:val="32"/>
          <w:lang w:eastAsia="zh-CN"/>
        </w:rPr>
      </w:pPr>
      <w:r>
        <w:rPr>
          <w:rFonts w:hint="eastAsia" w:ascii="仿宋_GB2312"/>
          <w:sz w:val="32"/>
          <w:szCs w:val="32"/>
          <w:lang w:eastAsia="zh-CN"/>
        </w:rPr>
        <w:t>我单位</w:t>
      </w:r>
      <w:r>
        <w:rPr>
          <w:rFonts w:hint="eastAsia" w:ascii="仿宋_GB2312"/>
          <w:szCs w:val="32"/>
        </w:rPr>
        <w:t>一般公共预算基本支出</w:t>
      </w:r>
      <w:r>
        <w:rPr>
          <w:rFonts w:hint="eastAsia" w:ascii="仿宋_GB2312" w:eastAsia="仿宋_GB2312"/>
          <w:sz w:val="32"/>
          <w:szCs w:val="32"/>
          <w:lang w:eastAsia="zh-CN"/>
        </w:rPr>
        <w:t>共</w:t>
      </w:r>
      <w:r>
        <w:rPr>
          <w:rFonts w:hint="eastAsia" w:ascii="仿宋_GB2312"/>
          <w:sz w:val="32"/>
          <w:szCs w:val="32"/>
          <w:lang w:val="en-US" w:eastAsia="zh-CN"/>
        </w:rPr>
        <w:t>156.99</w:t>
      </w:r>
      <w:r>
        <w:rPr>
          <w:rFonts w:hint="eastAsia" w:ascii="仿宋_GB2312" w:eastAsia="仿宋_GB2312"/>
          <w:sz w:val="32"/>
          <w:szCs w:val="32"/>
        </w:rPr>
        <w:t>万元，</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%，主要原因是离退休人员补贴增加</w:t>
      </w:r>
      <w:r>
        <w:rPr>
          <w:rFonts w:hint="eastAsia" w:ascii="仿宋_GB2312"/>
          <w:szCs w:val="32"/>
        </w:rPr>
        <w:t>。</w:t>
      </w:r>
      <w:r>
        <w:rPr>
          <w:rFonts w:hint="eastAsia" w:ascii="仿宋_GB2312"/>
          <w:sz w:val="32"/>
          <w:szCs w:val="32"/>
          <w:lang w:eastAsia="zh-CN"/>
        </w:rPr>
        <w:t>具体情况为：</w:t>
      </w:r>
    </w:p>
    <w:p>
      <w:pPr>
        <w:tabs>
          <w:tab w:val="center" w:pos="4475"/>
        </w:tabs>
        <w:spacing w:line="560" w:lineRule="exact"/>
        <w:ind w:firstLine="645"/>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303类对个人和家庭的补助156.99万元，</w:t>
      </w:r>
      <w:r>
        <w:rPr>
          <w:rFonts w:hint="eastAsia" w:ascii="仿宋_GB2312"/>
          <w:sz w:val="32"/>
          <w:szCs w:val="32"/>
          <w:lang w:eastAsia="zh-CN"/>
        </w:rPr>
        <w:t>较上年增加</w:t>
      </w:r>
      <w:r>
        <w:rPr>
          <w:rFonts w:hint="eastAsia" w:ascii="仿宋_GB2312"/>
          <w:sz w:val="32"/>
          <w:szCs w:val="32"/>
          <w:lang w:val="en-US" w:eastAsia="zh-CN"/>
        </w:rPr>
        <w:t>22.04万元，</w:t>
      </w:r>
      <w:r>
        <w:rPr>
          <w:rFonts w:hint="eastAsia" w:ascii="仿宋_GB2312"/>
          <w:sz w:val="32"/>
          <w:szCs w:val="32"/>
          <w:lang w:eastAsia="zh-CN"/>
        </w:rPr>
        <w:t>增长16.33</w:t>
      </w:r>
      <w:r>
        <w:rPr>
          <w:rFonts w:hint="eastAsia" w:ascii="仿宋_GB2312"/>
          <w:sz w:val="32"/>
          <w:szCs w:val="32"/>
          <w:lang w:val="en-US" w:eastAsia="zh-CN"/>
        </w:rPr>
        <w:t>%</w:t>
      </w:r>
      <w:r>
        <w:rPr>
          <w:rFonts w:hint="eastAsia" w:ascii="仿宋_GB2312" w:cs="Times New Roman"/>
          <w:kern w:val="2"/>
          <w:sz w:val="32"/>
          <w:szCs w:val="32"/>
          <w:lang w:val="en-US" w:eastAsia="zh-CN" w:bidi="ar-SA"/>
        </w:rPr>
        <w:t>。其中：</w:t>
      </w:r>
    </w:p>
    <w:p>
      <w:pPr>
        <w:tabs>
          <w:tab w:val="center" w:pos="4475"/>
        </w:tabs>
        <w:spacing w:line="560" w:lineRule="exact"/>
        <w:ind w:firstLine="645"/>
        <w:rPr>
          <w:rFonts w:hint="default" w:ascii="仿宋_GB2312" w:eastAsia="仿宋_GB2312"/>
          <w:sz w:val="32"/>
          <w:szCs w:val="32"/>
          <w:lang w:val="en-US" w:eastAsia="zh-CN"/>
        </w:rPr>
      </w:pPr>
      <w:r>
        <w:rPr>
          <w:rFonts w:hint="eastAsia" w:ascii="仿宋_GB2312"/>
          <w:sz w:val="32"/>
          <w:szCs w:val="32"/>
          <w:lang w:val="en-US" w:eastAsia="zh-CN"/>
        </w:rPr>
        <w:t>30301离休费17.52万元，</w:t>
      </w:r>
      <w:r>
        <w:rPr>
          <w:rFonts w:hint="eastAsia" w:ascii="仿宋_GB2312" w:hAnsi="Times New Roman" w:eastAsia="仿宋_GB2312" w:cs="Times New Roman"/>
          <w:kern w:val="2"/>
          <w:sz w:val="32"/>
          <w:szCs w:val="32"/>
          <w:lang w:val="en-US" w:eastAsia="zh-CN" w:bidi="ar-SA"/>
        </w:rPr>
        <w:t>较上年</w:t>
      </w:r>
      <w:r>
        <w:rPr>
          <w:rFonts w:hint="eastAsia" w:ascii="仿宋_GB2312" w:cs="Times New Roman"/>
          <w:kern w:val="2"/>
          <w:sz w:val="32"/>
          <w:szCs w:val="32"/>
          <w:lang w:val="en-US" w:eastAsia="zh-CN" w:bidi="ar-SA"/>
        </w:rPr>
        <w:t>减少12.97万元，下降42.55%；</w:t>
      </w:r>
    </w:p>
    <w:p>
      <w:pPr>
        <w:tabs>
          <w:tab w:val="center" w:pos="4475"/>
        </w:tabs>
        <w:spacing w:line="560" w:lineRule="exact"/>
        <w:ind w:firstLine="645"/>
        <w:rPr>
          <w:rFonts w:hint="eastAsia" w:ascii="仿宋_GB2312"/>
          <w:sz w:val="32"/>
          <w:szCs w:val="32"/>
          <w:lang w:val="en-US" w:eastAsia="zh-CN"/>
        </w:rPr>
      </w:pPr>
      <w:r>
        <w:rPr>
          <w:rFonts w:hint="eastAsia" w:ascii="仿宋_GB2312"/>
          <w:sz w:val="32"/>
          <w:szCs w:val="32"/>
          <w:lang w:val="en-US" w:eastAsia="zh-CN"/>
        </w:rPr>
        <w:t>30302退休费130.18万元，</w:t>
      </w:r>
      <w:r>
        <w:rPr>
          <w:rFonts w:hint="eastAsia" w:ascii="仿宋_GB2312" w:hAnsi="Times New Roman" w:eastAsia="仿宋_GB2312" w:cs="Times New Roman"/>
          <w:kern w:val="2"/>
          <w:sz w:val="32"/>
          <w:szCs w:val="32"/>
          <w:lang w:val="en-US" w:eastAsia="zh-CN" w:bidi="ar-SA"/>
        </w:rPr>
        <w:t>较上年</w:t>
      </w:r>
      <w:r>
        <w:rPr>
          <w:rFonts w:hint="eastAsia" w:ascii="仿宋_GB2312" w:cs="Times New Roman"/>
          <w:kern w:val="2"/>
          <w:sz w:val="32"/>
          <w:szCs w:val="32"/>
          <w:lang w:val="en-US" w:eastAsia="zh-CN" w:bidi="ar-SA"/>
        </w:rPr>
        <w:t>增加35.22万元，增长37.09%；</w:t>
      </w:r>
    </w:p>
    <w:p>
      <w:pPr>
        <w:tabs>
          <w:tab w:val="center" w:pos="4475"/>
        </w:tabs>
        <w:spacing w:line="560" w:lineRule="exact"/>
        <w:ind w:firstLine="645"/>
        <w:rPr>
          <w:rFonts w:hint="default"/>
          <w:lang w:val="en-US" w:eastAsia="zh-CN"/>
        </w:rPr>
      </w:pPr>
      <w:r>
        <w:rPr>
          <w:rFonts w:hint="eastAsia" w:ascii="仿宋_GB2312"/>
          <w:sz w:val="32"/>
          <w:szCs w:val="32"/>
          <w:lang w:val="en-US" w:eastAsia="zh-CN"/>
        </w:rPr>
        <w:t>30399其他对个人和家庭的补助9.30万元，较上年减少0.20万元，下降2.11%。</w:t>
      </w:r>
    </w:p>
    <w:p>
      <w:pPr>
        <w:tabs>
          <w:tab w:val="center" w:pos="4475"/>
        </w:tabs>
        <w:spacing w:line="560" w:lineRule="exact"/>
        <w:ind w:firstLine="645"/>
        <w:rPr>
          <w:rFonts w:hint="eastAsia" w:ascii="黑体" w:eastAsia="黑体"/>
          <w:szCs w:val="32"/>
        </w:rPr>
      </w:pPr>
      <w:r>
        <w:rPr>
          <w:rFonts w:hint="eastAsia" w:ascii="黑体" w:eastAsia="黑体"/>
          <w:szCs w:val="32"/>
        </w:rPr>
        <w:t>七、一般公共预算“三公”经费支出情况说明</w:t>
      </w:r>
    </w:p>
    <w:p>
      <w:pPr>
        <w:tabs>
          <w:tab w:val="center" w:pos="4475"/>
        </w:tabs>
        <w:spacing w:line="560" w:lineRule="exact"/>
        <w:ind w:firstLine="645"/>
        <w:rPr>
          <w:rFonts w:hint="eastAsia" w:ascii="仿宋_GB2312" w:hAnsi="宋体"/>
          <w:szCs w:val="32"/>
        </w:rPr>
      </w:pPr>
      <w:r>
        <w:rPr>
          <w:rFonts w:hint="eastAsia" w:ascii="仿宋_GB2312" w:hAnsi="宋体"/>
          <w:szCs w:val="32"/>
          <w:highlight w:val="none"/>
        </w:rPr>
        <w:t>我</w:t>
      </w:r>
      <w:r>
        <w:rPr>
          <w:rFonts w:hint="eastAsia" w:ascii="仿宋_GB2312" w:hAnsi="宋体"/>
          <w:szCs w:val="32"/>
          <w:highlight w:val="none"/>
          <w:lang w:eastAsia="zh-CN"/>
        </w:rPr>
        <w:t>单位</w:t>
      </w:r>
      <w:r>
        <w:rPr>
          <w:rFonts w:hint="eastAsia" w:ascii="仿宋_GB2312"/>
        </w:rPr>
        <w:t>202</w:t>
      </w:r>
      <w:r>
        <w:rPr>
          <w:rFonts w:hint="eastAsia" w:ascii="仿宋_GB2312"/>
          <w:lang w:val="en-US" w:eastAsia="zh-CN"/>
        </w:rPr>
        <w:t>4</w:t>
      </w:r>
      <w:r>
        <w:rPr>
          <w:rFonts w:hint="eastAsia" w:ascii="仿宋_GB2312"/>
        </w:rPr>
        <w:t>年一般公共预算</w:t>
      </w:r>
      <w:r>
        <w:rPr>
          <w:rFonts w:hint="eastAsia" w:ascii="仿宋_GB2312"/>
          <w:bCs/>
        </w:rPr>
        <w:t>安排的“三公”经费支出预算</w:t>
      </w:r>
      <w:r>
        <w:rPr>
          <w:rFonts w:hint="eastAsia" w:ascii="仿宋_GB2312"/>
          <w:bCs/>
          <w:lang w:val="en-US" w:eastAsia="zh-CN"/>
        </w:rPr>
        <w:t>0</w:t>
      </w:r>
      <w:r>
        <w:rPr>
          <w:rFonts w:hint="eastAsia" w:ascii="仿宋_GB2312"/>
          <w:bCs/>
        </w:rPr>
        <w:t>万元，同口径比202</w:t>
      </w:r>
      <w:r>
        <w:rPr>
          <w:rFonts w:hint="eastAsia" w:ascii="仿宋_GB2312"/>
          <w:bCs/>
          <w:lang w:val="en-US" w:eastAsia="zh-CN"/>
        </w:rPr>
        <w:t>3</w:t>
      </w:r>
      <w:r>
        <w:rPr>
          <w:rFonts w:hint="eastAsia" w:ascii="仿宋_GB2312"/>
          <w:bCs/>
        </w:rPr>
        <w:t>年增加</w:t>
      </w:r>
      <w:r>
        <w:rPr>
          <w:rFonts w:hint="eastAsia" w:ascii="仿宋_GB2312"/>
          <w:bCs/>
          <w:lang w:val="en-US" w:eastAsia="zh-CN"/>
        </w:rPr>
        <w:t>0</w:t>
      </w:r>
      <w:r>
        <w:rPr>
          <w:rFonts w:hint="eastAsia" w:ascii="仿宋_GB2312"/>
          <w:bCs/>
        </w:rPr>
        <w:t>万元，增长</w:t>
      </w:r>
      <w:r>
        <w:rPr>
          <w:rFonts w:hint="eastAsia" w:ascii="仿宋_GB2312"/>
          <w:bCs/>
          <w:lang w:val="en-US" w:eastAsia="zh-CN"/>
        </w:rPr>
        <w:t>0</w:t>
      </w:r>
      <w:r>
        <w:rPr>
          <w:rFonts w:hint="eastAsia" w:ascii="仿宋_GB2312"/>
          <w:bCs/>
        </w:rPr>
        <w:t>，具体如下：</w:t>
      </w:r>
    </w:p>
    <w:p>
      <w:pPr>
        <w:tabs>
          <w:tab w:val="center" w:pos="4475"/>
        </w:tabs>
        <w:spacing w:line="560" w:lineRule="exact"/>
        <w:ind w:firstLine="645"/>
        <w:rPr>
          <w:rFonts w:hint="eastAsia" w:ascii="仿宋_GB2312" w:hAnsi="Arial" w:cs="Arial"/>
          <w:kern w:val="0"/>
        </w:rPr>
      </w:pPr>
      <w:r>
        <w:rPr>
          <w:rFonts w:hint="eastAsia" w:ascii="仿宋_GB2312"/>
        </w:rPr>
        <w:t>1.因公出国（境）费</w:t>
      </w:r>
      <w:r>
        <w:rPr>
          <w:rFonts w:hint="eastAsia" w:ascii="仿宋_GB2312" w:hAnsi="宋体"/>
          <w:szCs w:val="32"/>
        </w:rPr>
        <w:t>202</w:t>
      </w:r>
      <w:r>
        <w:rPr>
          <w:rFonts w:hint="eastAsia" w:ascii="仿宋_GB2312" w:hAnsi="宋体"/>
          <w:szCs w:val="32"/>
          <w:lang w:val="en-US" w:eastAsia="zh-CN"/>
        </w:rPr>
        <w:t>4</w:t>
      </w:r>
      <w:r>
        <w:rPr>
          <w:rFonts w:hint="eastAsia" w:ascii="仿宋_GB2312" w:hAnsi="宋体"/>
          <w:szCs w:val="32"/>
        </w:rPr>
        <w:t>年预算安排</w:t>
      </w:r>
      <w:r>
        <w:rPr>
          <w:rFonts w:hint="eastAsia" w:ascii="仿宋_GB2312" w:hAnsi="宋体"/>
          <w:szCs w:val="32"/>
          <w:lang w:val="en-US" w:eastAsia="zh-CN"/>
        </w:rPr>
        <w:t>0</w:t>
      </w:r>
      <w:r>
        <w:rPr>
          <w:rFonts w:hint="eastAsia" w:ascii="仿宋_GB2312" w:hAnsi="宋体"/>
          <w:szCs w:val="32"/>
        </w:rPr>
        <w:t>万元，</w:t>
      </w:r>
      <w:r>
        <w:rPr>
          <w:rFonts w:hint="eastAsia" w:ascii="仿宋_GB2312" w:hAnsi="宋体"/>
          <w:szCs w:val="32"/>
          <w:lang w:eastAsia="zh-CN"/>
        </w:rPr>
        <w:t>与上年持平</w:t>
      </w:r>
      <w:r>
        <w:rPr>
          <w:rFonts w:hint="eastAsia" w:ascii="仿宋_GB2312" w:hAnsi="Arial" w:cs="Arial"/>
          <w:kern w:val="0"/>
        </w:rPr>
        <w:t>。</w:t>
      </w:r>
    </w:p>
    <w:p>
      <w:pPr>
        <w:tabs>
          <w:tab w:val="center" w:pos="4475"/>
        </w:tabs>
        <w:spacing w:line="560" w:lineRule="exact"/>
        <w:ind w:firstLine="645"/>
        <w:rPr>
          <w:rFonts w:hint="eastAsia" w:ascii="仿宋_GB2312" w:hAnsi="Arial" w:cs="Arial"/>
          <w:kern w:val="0"/>
        </w:rPr>
      </w:pPr>
      <w:r>
        <w:rPr>
          <w:rFonts w:hint="eastAsia" w:ascii="仿宋_GB2312"/>
        </w:rPr>
        <w:t>2.公务接待费</w:t>
      </w:r>
      <w:r>
        <w:rPr>
          <w:rFonts w:hint="eastAsia" w:ascii="仿宋_GB2312" w:hAnsi="宋体"/>
          <w:szCs w:val="32"/>
        </w:rPr>
        <w:t>202</w:t>
      </w:r>
      <w:r>
        <w:rPr>
          <w:rFonts w:hint="eastAsia" w:ascii="仿宋_GB2312" w:hAnsi="宋体"/>
          <w:szCs w:val="32"/>
          <w:lang w:val="en-US" w:eastAsia="zh-CN"/>
        </w:rPr>
        <w:t>4</w:t>
      </w:r>
      <w:r>
        <w:rPr>
          <w:rFonts w:hint="eastAsia" w:ascii="仿宋_GB2312" w:hAnsi="宋体"/>
          <w:szCs w:val="32"/>
        </w:rPr>
        <w:t>年预算安排</w:t>
      </w:r>
      <w:r>
        <w:rPr>
          <w:rFonts w:hint="eastAsia" w:ascii="仿宋_GB2312" w:hAnsi="宋体"/>
          <w:szCs w:val="32"/>
          <w:lang w:val="en-US" w:eastAsia="zh-CN"/>
        </w:rPr>
        <w:t>0</w:t>
      </w:r>
      <w:r>
        <w:rPr>
          <w:rFonts w:hint="eastAsia" w:ascii="仿宋_GB2312" w:hAnsi="宋体"/>
          <w:szCs w:val="32"/>
        </w:rPr>
        <w:t>万元，</w:t>
      </w:r>
      <w:r>
        <w:rPr>
          <w:rFonts w:hint="eastAsia" w:ascii="仿宋_GB2312" w:hAnsi="宋体"/>
          <w:szCs w:val="32"/>
          <w:lang w:eastAsia="zh-CN"/>
        </w:rPr>
        <w:t>与上年持平</w:t>
      </w:r>
      <w:r>
        <w:rPr>
          <w:rFonts w:hint="eastAsia" w:ascii="仿宋_GB2312" w:hAnsi="Arial" w:cs="Arial"/>
          <w:kern w:val="0"/>
        </w:rPr>
        <w:t>。</w:t>
      </w:r>
    </w:p>
    <w:p>
      <w:pPr>
        <w:tabs>
          <w:tab w:val="center" w:pos="4475"/>
        </w:tabs>
        <w:spacing w:line="560" w:lineRule="exact"/>
        <w:ind w:firstLine="645"/>
        <w:rPr>
          <w:rFonts w:hint="eastAsia" w:ascii="仿宋_GB2312" w:hAnsi="宋体"/>
          <w:szCs w:val="32"/>
        </w:rPr>
      </w:pPr>
      <w:r>
        <w:rPr>
          <w:rFonts w:hint="eastAsia" w:ascii="仿宋_GB2312"/>
        </w:rPr>
        <w:t>3.公务用车购置及运行费</w:t>
      </w:r>
      <w:r>
        <w:rPr>
          <w:rFonts w:hint="eastAsia" w:ascii="仿宋_GB2312" w:hAnsi="宋体"/>
          <w:szCs w:val="32"/>
          <w:lang w:val="en-US" w:eastAsia="zh-CN"/>
        </w:rPr>
        <w:t>2024</w:t>
      </w:r>
      <w:r>
        <w:rPr>
          <w:rFonts w:hint="eastAsia" w:ascii="仿宋_GB2312" w:hAnsi="宋体"/>
          <w:szCs w:val="32"/>
        </w:rPr>
        <w:t>年预算安排</w:t>
      </w:r>
      <w:r>
        <w:rPr>
          <w:rFonts w:hint="eastAsia" w:ascii="仿宋_GB2312" w:hAnsi="宋体"/>
          <w:szCs w:val="32"/>
          <w:lang w:val="en-US" w:eastAsia="zh-CN"/>
        </w:rPr>
        <w:t>0</w:t>
      </w:r>
      <w:r>
        <w:rPr>
          <w:rFonts w:hint="eastAsia" w:ascii="仿宋_GB2312" w:hAnsi="宋体"/>
          <w:szCs w:val="32"/>
        </w:rPr>
        <w:t>万元，</w:t>
      </w:r>
      <w:r>
        <w:rPr>
          <w:rFonts w:hint="eastAsia" w:ascii="仿宋_GB2312" w:hAnsi="宋体"/>
          <w:szCs w:val="32"/>
          <w:lang w:eastAsia="zh-CN"/>
        </w:rPr>
        <w:t>与上年持平，</w:t>
      </w:r>
      <w:r>
        <w:rPr>
          <w:rFonts w:hint="eastAsia" w:ascii="仿宋_GB2312" w:hAnsi="宋体"/>
          <w:szCs w:val="32"/>
        </w:rPr>
        <w:t>其中：</w:t>
      </w:r>
    </w:p>
    <w:p>
      <w:pPr>
        <w:tabs>
          <w:tab w:val="center" w:pos="4475"/>
        </w:tabs>
        <w:spacing w:line="560" w:lineRule="exact"/>
        <w:ind w:firstLine="645"/>
        <w:rPr>
          <w:rFonts w:hint="eastAsia" w:ascii="仿宋_GB2312" w:hAnsi="Arial" w:cs="Arial"/>
          <w:kern w:val="0"/>
        </w:rPr>
      </w:pPr>
      <w:r>
        <w:rPr>
          <w:rFonts w:hint="eastAsia" w:ascii="仿宋_GB2312" w:hAnsi="宋体"/>
          <w:szCs w:val="32"/>
        </w:rPr>
        <w:t>公务用车购置费202</w:t>
      </w:r>
      <w:r>
        <w:rPr>
          <w:rFonts w:hint="eastAsia" w:ascii="仿宋_GB2312" w:hAnsi="宋体"/>
          <w:szCs w:val="32"/>
          <w:lang w:val="en-US" w:eastAsia="zh-CN"/>
        </w:rPr>
        <w:t>4</w:t>
      </w:r>
      <w:r>
        <w:rPr>
          <w:rFonts w:hint="eastAsia" w:ascii="仿宋_GB2312" w:hAnsi="宋体"/>
          <w:szCs w:val="32"/>
        </w:rPr>
        <w:t>年预算安排</w:t>
      </w:r>
      <w:r>
        <w:rPr>
          <w:rFonts w:hint="eastAsia" w:ascii="仿宋_GB2312" w:hAnsi="宋体"/>
          <w:szCs w:val="32"/>
          <w:lang w:val="en-US" w:eastAsia="zh-CN"/>
        </w:rPr>
        <w:t>0</w:t>
      </w:r>
      <w:r>
        <w:rPr>
          <w:rFonts w:hint="eastAsia" w:ascii="仿宋_GB2312" w:hAnsi="宋体"/>
          <w:szCs w:val="32"/>
        </w:rPr>
        <w:t>万元</w:t>
      </w:r>
      <w:r>
        <w:rPr>
          <w:rFonts w:hint="eastAsia" w:ascii="仿宋_GB2312" w:hAnsi="宋体"/>
          <w:szCs w:val="32"/>
          <w:lang w:eastAsia="zh-CN"/>
        </w:rPr>
        <w:t>，与上年持平</w:t>
      </w:r>
      <w:r>
        <w:rPr>
          <w:rFonts w:hint="eastAsia" w:ascii="仿宋_GB2312" w:hAnsi="Arial" w:cs="Arial"/>
          <w:kern w:val="0"/>
        </w:rPr>
        <w:t>；</w:t>
      </w:r>
    </w:p>
    <w:p>
      <w:pPr>
        <w:tabs>
          <w:tab w:val="center" w:pos="4475"/>
        </w:tabs>
        <w:spacing w:line="560" w:lineRule="exact"/>
        <w:ind w:firstLine="645"/>
        <w:rPr>
          <w:rFonts w:hint="eastAsia" w:ascii="仿宋_GB2312" w:hAnsi="宋体"/>
          <w:szCs w:val="32"/>
        </w:rPr>
      </w:pPr>
      <w:r>
        <w:rPr>
          <w:rFonts w:hint="eastAsia" w:ascii="仿宋_GB2312" w:hAnsi="宋体"/>
          <w:szCs w:val="32"/>
        </w:rPr>
        <w:t>公务用车运行维护费202</w:t>
      </w:r>
      <w:r>
        <w:rPr>
          <w:rFonts w:hint="eastAsia" w:ascii="仿宋_GB2312" w:hAnsi="宋体"/>
          <w:szCs w:val="32"/>
          <w:lang w:val="en-US" w:eastAsia="zh-CN"/>
        </w:rPr>
        <w:t>4</w:t>
      </w:r>
      <w:r>
        <w:rPr>
          <w:rFonts w:hint="eastAsia" w:ascii="仿宋_GB2312" w:hAnsi="宋体"/>
          <w:szCs w:val="32"/>
        </w:rPr>
        <w:t>年预算安排</w:t>
      </w:r>
      <w:r>
        <w:rPr>
          <w:rFonts w:hint="eastAsia" w:ascii="仿宋_GB2312" w:hAnsi="宋体"/>
          <w:szCs w:val="32"/>
          <w:lang w:val="en-US" w:eastAsia="zh-CN"/>
        </w:rPr>
        <w:t>0</w:t>
      </w:r>
      <w:r>
        <w:rPr>
          <w:rFonts w:hint="eastAsia" w:ascii="仿宋_GB2312" w:hAnsi="宋体"/>
          <w:szCs w:val="32"/>
        </w:rPr>
        <w:t>万元</w:t>
      </w:r>
      <w:r>
        <w:rPr>
          <w:rFonts w:hint="eastAsia" w:ascii="仿宋_GB2312" w:hAnsi="宋体"/>
          <w:szCs w:val="32"/>
          <w:lang w:eastAsia="zh-CN"/>
        </w:rPr>
        <w:t>，与上年持平</w:t>
      </w:r>
      <w:r>
        <w:rPr>
          <w:rFonts w:hint="eastAsia" w:ascii="仿宋_GB2312" w:hAnsi="Arial" w:cs="Arial"/>
          <w:kern w:val="0"/>
        </w:rPr>
        <w:t>。</w:t>
      </w:r>
    </w:p>
    <w:p>
      <w:pPr>
        <w:tabs>
          <w:tab w:val="center" w:pos="4475"/>
        </w:tabs>
        <w:spacing w:line="560" w:lineRule="exact"/>
        <w:ind w:firstLine="645"/>
        <w:rPr>
          <w:rFonts w:hint="eastAsia" w:ascii="黑体" w:eastAsia="黑体"/>
          <w:szCs w:val="32"/>
        </w:rPr>
      </w:pPr>
      <w:r>
        <w:rPr>
          <w:rFonts w:hint="eastAsia" w:ascii="黑体" w:eastAsia="黑体"/>
          <w:szCs w:val="32"/>
        </w:rPr>
        <w:t>八、政府性基金预算支出情况说明</w:t>
      </w:r>
    </w:p>
    <w:p>
      <w:pPr>
        <w:tabs>
          <w:tab w:val="center" w:pos="4475"/>
        </w:tabs>
        <w:spacing w:line="560" w:lineRule="exact"/>
        <w:ind w:firstLine="645"/>
        <w:rPr>
          <w:rFonts w:hint="eastAsia" w:ascii="仿宋_GB2312"/>
          <w:sz w:val="32"/>
          <w:szCs w:val="32"/>
          <w:lang w:eastAsia="zh-CN"/>
        </w:rPr>
      </w:pPr>
      <w:r>
        <w:rPr>
          <w:rFonts w:hint="eastAsia" w:ascii="仿宋_GB2312"/>
          <w:sz w:val="32"/>
          <w:szCs w:val="32"/>
          <w:lang w:eastAsia="zh-CN"/>
        </w:rPr>
        <w:t>我单位202</w:t>
      </w:r>
      <w:r>
        <w:rPr>
          <w:rFonts w:hint="eastAsia" w:ascii="仿宋_GB2312"/>
          <w:sz w:val="32"/>
          <w:szCs w:val="32"/>
          <w:lang w:val="en-US" w:eastAsia="zh-CN"/>
        </w:rPr>
        <w:t>4</w:t>
      </w:r>
      <w:r>
        <w:rPr>
          <w:rFonts w:hint="eastAsia" w:ascii="仿宋_GB2312"/>
          <w:sz w:val="32"/>
          <w:szCs w:val="32"/>
          <w:lang w:eastAsia="zh-CN"/>
        </w:rPr>
        <w:t>年部门预算无政府性基金预算。</w:t>
      </w:r>
    </w:p>
    <w:p>
      <w:pPr>
        <w:tabs>
          <w:tab w:val="center" w:pos="4475"/>
        </w:tabs>
        <w:spacing w:line="560" w:lineRule="exact"/>
        <w:ind w:firstLine="645"/>
        <w:rPr>
          <w:rFonts w:hint="eastAsia" w:ascii="黑体" w:eastAsia="黑体"/>
          <w:szCs w:val="32"/>
          <w:highlight w:val="yellow"/>
          <w:lang w:eastAsia="zh-CN"/>
        </w:rPr>
      </w:pPr>
      <w:r>
        <w:rPr>
          <w:rFonts w:hint="eastAsia" w:ascii="黑体" w:eastAsia="黑体"/>
          <w:szCs w:val="32"/>
          <w:highlight w:val="none"/>
        </w:rPr>
        <w:t>九、</w:t>
      </w:r>
      <w:r>
        <w:rPr>
          <w:rFonts w:hint="eastAsia" w:ascii="黑体" w:eastAsia="黑体"/>
          <w:szCs w:val="32"/>
          <w:highlight w:val="none"/>
          <w:lang w:eastAsia="zh-CN"/>
        </w:rPr>
        <w:t>国有资本经营</w:t>
      </w:r>
      <w:r>
        <w:rPr>
          <w:rFonts w:hint="eastAsia" w:ascii="黑体" w:eastAsia="黑体"/>
          <w:szCs w:val="32"/>
          <w:highlight w:val="none"/>
        </w:rPr>
        <w:t>预算支出情况说明</w:t>
      </w:r>
    </w:p>
    <w:p>
      <w:pPr>
        <w:tabs>
          <w:tab w:val="center" w:pos="4475"/>
        </w:tabs>
        <w:spacing w:line="560" w:lineRule="exact"/>
        <w:ind w:firstLine="645"/>
        <w:rPr>
          <w:rFonts w:hint="eastAsia" w:ascii="仿宋_GB2312" w:hAnsi="宋体"/>
          <w:szCs w:val="32"/>
          <w:highlight w:val="none"/>
          <w:u w:val="single"/>
        </w:rPr>
      </w:pPr>
      <w:r>
        <w:rPr>
          <w:rFonts w:hint="eastAsia" w:ascii="仿宋_GB2312"/>
          <w:sz w:val="32"/>
          <w:szCs w:val="32"/>
          <w:lang w:eastAsia="zh-CN"/>
        </w:rPr>
        <w:t>我单位202</w:t>
      </w:r>
      <w:r>
        <w:rPr>
          <w:rFonts w:hint="eastAsia" w:ascii="仿宋_GB2312"/>
          <w:sz w:val="32"/>
          <w:szCs w:val="32"/>
          <w:lang w:val="en-US" w:eastAsia="zh-CN"/>
        </w:rPr>
        <w:t>4</w:t>
      </w:r>
      <w:r>
        <w:rPr>
          <w:rFonts w:hint="eastAsia" w:ascii="仿宋_GB2312"/>
          <w:sz w:val="32"/>
          <w:szCs w:val="32"/>
          <w:lang w:eastAsia="zh-CN"/>
        </w:rPr>
        <w:t>年部门预算无国有资本经营预算。</w:t>
      </w:r>
    </w:p>
    <w:p>
      <w:pPr>
        <w:tabs>
          <w:tab w:val="center" w:pos="4475"/>
        </w:tabs>
        <w:spacing w:line="560" w:lineRule="exact"/>
        <w:ind w:firstLine="645"/>
        <w:rPr>
          <w:rFonts w:hint="eastAsia" w:ascii="黑体" w:eastAsia="黑体"/>
          <w:szCs w:val="32"/>
        </w:rPr>
      </w:pPr>
      <w:r>
        <w:rPr>
          <w:rFonts w:hint="eastAsia" w:ascii="黑体" w:eastAsia="黑体"/>
          <w:szCs w:val="32"/>
          <w:lang w:eastAsia="zh-CN"/>
        </w:rPr>
        <w:t>十</w:t>
      </w:r>
      <w:r>
        <w:rPr>
          <w:rFonts w:hint="eastAsia" w:ascii="黑体" w:eastAsia="黑体"/>
          <w:szCs w:val="32"/>
        </w:rPr>
        <w:t>、其他重要事项情况说明</w:t>
      </w:r>
    </w:p>
    <w:p>
      <w:pPr>
        <w:tabs>
          <w:tab w:val="center" w:pos="4475"/>
        </w:tabs>
        <w:spacing w:line="560" w:lineRule="exact"/>
        <w:ind w:firstLine="645"/>
        <w:rPr>
          <w:rFonts w:hint="eastAsia" w:ascii="楷体_GB2312" w:hAnsi="楷体_GB2312" w:eastAsia="楷体_GB2312" w:cs="楷体_GB2312"/>
          <w:szCs w:val="32"/>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eastAsia="zh-CN"/>
        </w:rPr>
        <w:t>事业单位</w:t>
      </w:r>
      <w:r>
        <w:rPr>
          <w:rFonts w:hint="eastAsia" w:ascii="楷体_GB2312" w:hAnsi="楷体_GB2312" w:eastAsia="楷体_GB2312" w:cs="楷体_GB2312"/>
          <w:szCs w:val="32"/>
        </w:rPr>
        <w:t>运行经费安排情况说明</w:t>
      </w:r>
    </w:p>
    <w:p>
      <w:pPr>
        <w:tabs>
          <w:tab w:val="center" w:pos="4475"/>
        </w:tabs>
        <w:spacing w:line="560" w:lineRule="exact"/>
        <w:ind w:firstLine="645"/>
        <w:rPr>
          <w:rFonts w:hint="eastAsia" w:ascii="仿宋_GB2312" w:hAnsi="宋体"/>
          <w:szCs w:val="32"/>
          <w:lang w:eastAsia="zh-CN"/>
        </w:rPr>
      </w:pPr>
      <w:r>
        <w:rPr>
          <w:rFonts w:hint="eastAsia" w:ascii="仿宋_GB2312" w:hAnsi="宋体"/>
          <w:szCs w:val="32"/>
          <w:lang w:eastAsia="zh-CN"/>
        </w:rPr>
        <w:t>我单位202</w:t>
      </w:r>
      <w:r>
        <w:rPr>
          <w:rFonts w:hint="eastAsia" w:ascii="仿宋_GB2312" w:hAnsi="宋体"/>
          <w:szCs w:val="32"/>
          <w:lang w:val="en-US" w:eastAsia="zh-CN"/>
        </w:rPr>
        <w:t>4</w:t>
      </w:r>
      <w:r>
        <w:rPr>
          <w:rFonts w:hint="eastAsia" w:ascii="仿宋_GB2312" w:hAnsi="宋体"/>
          <w:szCs w:val="32"/>
          <w:lang w:eastAsia="zh-CN"/>
        </w:rPr>
        <w:t>年部门预算无事业单位运行经费。</w:t>
      </w:r>
    </w:p>
    <w:p>
      <w:pPr>
        <w:tabs>
          <w:tab w:val="center" w:pos="4475"/>
        </w:tabs>
        <w:spacing w:line="560" w:lineRule="exact"/>
        <w:ind w:firstLine="645"/>
        <w:rPr>
          <w:rFonts w:hint="eastAsia" w:ascii="楷体_GB2312" w:hAnsi="楷体_GB2312" w:eastAsia="楷体_GB2312" w:cs="楷体_GB2312"/>
          <w:kern w:val="0"/>
        </w:rPr>
      </w:pPr>
      <w:r>
        <w:rPr>
          <w:rFonts w:hint="eastAsia" w:ascii="楷体_GB2312" w:hAnsi="楷体_GB2312" w:eastAsia="楷体_GB2312" w:cs="楷体_GB2312"/>
          <w:szCs w:val="32"/>
        </w:rPr>
        <w:t>（二）</w:t>
      </w:r>
      <w:r>
        <w:rPr>
          <w:rFonts w:hint="eastAsia" w:ascii="楷体_GB2312" w:hAnsi="楷体_GB2312" w:eastAsia="楷体_GB2312" w:cs="楷体_GB2312"/>
          <w:kern w:val="0"/>
        </w:rPr>
        <w:t>政府采购预算安排情况说明</w:t>
      </w:r>
    </w:p>
    <w:p>
      <w:pPr>
        <w:tabs>
          <w:tab w:val="center" w:pos="4475"/>
        </w:tabs>
        <w:spacing w:line="560" w:lineRule="exact"/>
        <w:ind w:firstLine="645"/>
        <w:rPr>
          <w:rFonts w:hint="eastAsia" w:ascii="仿宋_GB2312" w:hAnsi="宋体"/>
          <w:szCs w:val="32"/>
          <w:lang w:eastAsia="zh-CN"/>
        </w:rPr>
      </w:pPr>
      <w:r>
        <w:rPr>
          <w:rFonts w:hint="eastAsia" w:ascii="仿宋_GB2312" w:hAnsi="宋体"/>
          <w:szCs w:val="32"/>
          <w:lang w:eastAsia="zh-CN"/>
        </w:rPr>
        <w:t>我单位202</w:t>
      </w:r>
      <w:r>
        <w:rPr>
          <w:rFonts w:hint="eastAsia" w:ascii="仿宋_GB2312" w:hAnsi="宋体"/>
          <w:szCs w:val="32"/>
          <w:lang w:val="en-US" w:eastAsia="zh-CN"/>
        </w:rPr>
        <w:t>4</w:t>
      </w:r>
      <w:r>
        <w:rPr>
          <w:rFonts w:hint="eastAsia" w:ascii="仿宋_GB2312" w:hAnsi="宋体"/>
          <w:szCs w:val="32"/>
          <w:lang w:eastAsia="zh-CN"/>
        </w:rPr>
        <w:t>年政府采购预算总金额</w:t>
      </w:r>
      <w:r>
        <w:rPr>
          <w:rFonts w:hint="eastAsia" w:ascii="仿宋_GB2312" w:hAnsi="宋体"/>
          <w:szCs w:val="32"/>
          <w:lang w:val="en-US" w:eastAsia="zh-CN"/>
        </w:rPr>
        <w:t>0</w:t>
      </w:r>
      <w:r>
        <w:rPr>
          <w:rFonts w:hint="eastAsia" w:ascii="仿宋_GB2312" w:hAnsi="宋体"/>
          <w:szCs w:val="32"/>
          <w:lang w:eastAsia="zh-CN"/>
        </w:rPr>
        <w:t>万元，与上年持平。其中：货物类采购</w:t>
      </w:r>
      <w:r>
        <w:rPr>
          <w:rFonts w:hint="eastAsia" w:ascii="仿宋_GB2312" w:hAnsi="宋体"/>
          <w:szCs w:val="32"/>
          <w:lang w:val="en-US" w:eastAsia="zh-CN"/>
        </w:rPr>
        <w:t>0</w:t>
      </w:r>
      <w:r>
        <w:rPr>
          <w:rFonts w:hint="eastAsia" w:ascii="仿宋_GB2312" w:hAnsi="宋体"/>
          <w:szCs w:val="32"/>
          <w:lang w:eastAsia="zh-CN"/>
        </w:rPr>
        <w:t>万元、工程类采购</w:t>
      </w:r>
      <w:r>
        <w:rPr>
          <w:rFonts w:hint="eastAsia" w:ascii="仿宋_GB2312" w:hAnsi="宋体"/>
          <w:szCs w:val="32"/>
          <w:lang w:val="en-US" w:eastAsia="zh-CN"/>
        </w:rPr>
        <w:t>0</w:t>
      </w:r>
      <w:r>
        <w:rPr>
          <w:rFonts w:hint="eastAsia" w:ascii="仿宋_GB2312" w:hAnsi="宋体"/>
          <w:szCs w:val="32"/>
          <w:lang w:eastAsia="zh-CN"/>
        </w:rPr>
        <w:t>万元、服务类采购</w:t>
      </w:r>
      <w:r>
        <w:rPr>
          <w:rFonts w:hint="eastAsia" w:ascii="仿宋_GB2312" w:hAnsi="宋体"/>
          <w:szCs w:val="32"/>
          <w:lang w:val="en-US" w:eastAsia="zh-CN"/>
        </w:rPr>
        <w:t>0</w:t>
      </w:r>
      <w:r>
        <w:rPr>
          <w:rFonts w:hint="eastAsia" w:ascii="仿宋_GB2312" w:hAnsi="宋体"/>
          <w:szCs w:val="32"/>
          <w:lang w:eastAsia="zh-CN"/>
        </w:rPr>
        <w:t>万元。</w:t>
      </w:r>
    </w:p>
    <w:p>
      <w:pPr>
        <w:tabs>
          <w:tab w:val="center" w:pos="4475"/>
        </w:tabs>
        <w:spacing w:line="560" w:lineRule="exact"/>
        <w:ind w:firstLine="645"/>
        <w:rPr>
          <w:rFonts w:hint="eastAsia" w:ascii="楷体_GB2312" w:hAnsi="楷体_GB2312" w:eastAsia="楷体_GB2312" w:cs="楷体_GB2312"/>
          <w:kern w:val="0"/>
        </w:rPr>
      </w:pPr>
      <w:r>
        <w:rPr>
          <w:rFonts w:hint="eastAsia" w:ascii="楷体_GB2312" w:hAnsi="楷体_GB2312" w:eastAsia="楷体_GB2312" w:cs="楷体_GB2312"/>
          <w:kern w:val="0"/>
        </w:rPr>
        <w:t>（三）国有资产占用情况说明</w:t>
      </w:r>
    </w:p>
    <w:p>
      <w:pPr>
        <w:tabs>
          <w:tab w:val="center" w:pos="4475"/>
        </w:tabs>
        <w:spacing w:line="560" w:lineRule="exact"/>
        <w:ind w:firstLine="645"/>
        <w:rPr>
          <w:rFonts w:hint="eastAsia" w:ascii="黑体" w:hAnsi="Arial" w:eastAsia="黑体" w:cs="Arial"/>
          <w:kern w:val="0"/>
          <w:u w:val="none"/>
        </w:rPr>
      </w:pPr>
      <w:r>
        <w:rPr>
          <w:rFonts w:hint="eastAsia" w:ascii="仿宋_GB2312" w:hAnsi="宋体"/>
          <w:szCs w:val="32"/>
          <w:lang w:eastAsia="zh-CN"/>
        </w:rPr>
        <w:t>我单位202</w:t>
      </w:r>
      <w:r>
        <w:rPr>
          <w:rFonts w:hint="eastAsia" w:ascii="仿宋_GB2312" w:hAnsi="宋体"/>
          <w:szCs w:val="32"/>
          <w:lang w:val="en-US" w:eastAsia="zh-CN"/>
        </w:rPr>
        <w:t>4</w:t>
      </w:r>
      <w:r>
        <w:rPr>
          <w:rFonts w:hint="eastAsia" w:ascii="仿宋_GB2312" w:hAnsi="宋体"/>
          <w:szCs w:val="32"/>
          <w:lang w:eastAsia="zh-CN"/>
        </w:rPr>
        <w:t>年无国有资产占用相关情况。</w:t>
      </w:r>
    </w:p>
    <w:p>
      <w:pPr>
        <w:tabs>
          <w:tab w:val="center" w:pos="4475"/>
        </w:tabs>
        <w:spacing w:line="560" w:lineRule="exact"/>
        <w:ind w:firstLine="645"/>
        <w:rPr>
          <w:rFonts w:hint="eastAsia" w:ascii="楷体_GB2312" w:hAnsi="楷体_GB2312" w:eastAsia="楷体_GB2312" w:cs="楷体_GB2312"/>
          <w:szCs w:val="32"/>
        </w:rPr>
      </w:pPr>
      <w:r>
        <w:rPr>
          <w:rFonts w:hint="eastAsia" w:ascii="楷体_GB2312" w:hAnsi="楷体_GB2312" w:eastAsia="楷体_GB2312" w:cs="楷体_GB2312"/>
          <w:szCs w:val="32"/>
        </w:rPr>
        <w:t>（四）预算绩效目标情况说明</w:t>
      </w:r>
    </w:p>
    <w:p>
      <w:pPr>
        <w:tabs>
          <w:tab w:val="center" w:pos="4475"/>
        </w:tabs>
        <w:spacing w:line="560" w:lineRule="exact"/>
        <w:ind w:firstLine="645"/>
        <w:rPr>
          <w:rFonts w:hint="eastAsia" w:ascii="仿宋_GB2312" w:eastAsia="仿宋_GB2312"/>
          <w:sz w:val="32"/>
          <w:szCs w:val="32"/>
          <w:lang w:val="en-US" w:eastAsia="zh-CN"/>
        </w:rPr>
      </w:pPr>
      <w:r>
        <w:rPr>
          <w:rFonts w:hint="eastAsia" w:ascii="仿宋_GB2312"/>
          <w:sz w:val="32"/>
          <w:szCs w:val="32"/>
          <w:lang w:val="en-US" w:eastAsia="zh-CN"/>
        </w:rPr>
        <w:t>我单位</w:t>
      </w:r>
      <w:r>
        <w:rPr>
          <w:rFonts w:hint="eastAsia" w:ascii="仿宋_GB2312" w:eastAsia="仿宋_GB2312"/>
          <w:sz w:val="32"/>
          <w:szCs w:val="32"/>
          <w:lang w:val="en-US" w:eastAsia="zh-CN"/>
        </w:rPr>
        <w:t>2024年所有项目支出全面实施绩效目标管理，涉及自治区本级项目</w:t>
      </w:r>
      <w:r>
        <w:rPr>
          <w:rFonts w:hint="eastAsia" w:ascii="仿宋_GB2312"/>
          <w:sz w:val="32"/>
          <w:szCs w:val="32"/>
          <w:lang w:val="en-US" w:eastAsia="zh-CN"/>
        </w:rPr>
        <w:t>0</w:t>
      </w:r>
      <w:r>
        <w:rPr>
          <w:rFonts w:hint="eastAsia" w:ascii="仿宋_GB2312" w:eastAsia="仿宋_GB2312"/>
          <w:sz w:val="32"/>
          <w:szCs w:val="32"/>
          <w:lang w:val="en-US" w:eastAsia="zh-CN"/>
        </w:rPr>
        <w:t>个，预算资金</w:t>
      </w:r>
      <w:r>
        <w:rPr>
          <w:rFonts w:hint="eastAsia" w:ascii="仿宋_GB2312"/>
          <w:sz w:val="32"/>
          <w:szCs w:val="32"/>
          <w:lang w:val="en-US" w:eastAsia="zh-CN"/>
        </w:rPr>
        <w:t>0</w:t>
      </w:r>
      <w:r>
        <w:rPr>
          <w:rFonts w:hint="eastAsia" w:ascii="仿宋_GB2312" w:eastAsia="仿宋_GB2312"/>
          <w:sz w:val="32"/>
          <w:szCs w:val="32"/>
          <w:lang w:val="en-US" w:eastAsia="zh-CN"/>
        </w:rPr>
        <w:t>万元；</w:t>
      </w:r>
      <w:r>
        <w:rPr>
          <w:rFonts w:hint="eastAsia" w:ascii="仿宋_GB2312" w:eastAsia="仿宋_GB2312"/>
          <w:sz w:val="32"/>
          <w:szCs w:val="32"/>
        </w:rPr>
        <w:t>对下转移支付项目</w:t>
      </w:r>
      <w:r>
        <w:rPr>
          <w:rFonts w:hint="eastAsia" w:ascii="仿宋_GB2312"/>
          <w:sz w:val="32"/>
          <w:szCs w:val="32"/>
          <w:lang w:val="en-US" w:eastAsia="zh-CN"/>
        </w:rPr>
        <w:t>0</w:t>
      </w:r>
      <w:r>
        <w:rPr>
          <w:rFonts w:hint="eastAsia" w:ascii="仿宋_GB2312" w:eastAsia="仿宋_GB2312"/>
          <w:sz w:val="32"/>
          <w:szCs w:val="32"/>
          <w:lang w:val="en-US" w:eastAsia="zh-CN"/>
        </w:rPr>
        <w:t>个，预算资金</w:t>
      </w:r>
      <w:r>
        <w:rPr>
          <w:rFonts w:hint="eastAsia" w:ascii="仿宋_GB2312"/>
          <w:sz w:val="32"/>
          <w:szCs w:val="32"/>
          <w:lang w:val="en-US" w:eastAsia="zh-CN"/>
        </w:rPr>
        <w:t>0</w:t>
      </w:r>
      <w:r>
        <w:rPr>
          <w:rFonts w:hint="eastAsia" w:ascii="仿宋_GB2312" w:eastAsia="仿宋_GB2312"/>
          <w:sz w:val="32"/>
          <w:szCs w:val="32"/>
          <w:lang w:val="en-US" w:eastAsia="zh-CN"/>
        </w:rPr>
        <w:t>万元。绩效目标情况详见报表（日常运转</w:t>
      </w:r>
      <w:r>
        <w:rPr>
          <w:rFonts w:hint="eastAsia" w:ascii="仿宋_GB2312"/>
          <w:sz w:val="32"/>
          <w:szCs w:val="32"/>
          <w:lang w:val="en-US" w:eastAsia="zh-CN"/>
        </w:rPr>
        <w:t>类</w:t>
      </w:r>
      <w:r>
        <w:rPr>
          <w:rFonts w:hint="eastAsia" w:ascii="仿宋_GB2312" w:eastAsia="仿宋_GB2312"/>
          <w:sz w:val="32"/>
          <w:szCs w:val="32"/>
          <w:lang w:val="en-US" w:eastAsia="zh-CN"/>
        </w:rPr>
        <w:t>项目</w:t>
      </w:r>
      <w:r>
        <w:rPr>
          <w:rFonts w:hint="eastAsia" w:ascii="仿宋_GB2312"/>
          <w:sz w:val="32"/>
          <w:szCs w:val="32"/>
          <w:lang w:val="en-US" w:eastAsia="zh-CN"/>
        </w:rPr>
        <w:t>、</w:t>
      </w:r>
      <w:r>
        <w:rPr>
          <w:rFonts w:hint="eastAsia" w:ascii="仿宋_GB2312" w:eastAsia="仿宋_GB2312"/>
          <w:sz w:val="32"/>
          <w:szCs w:val="32"/>
          <w:lang w:eastAsia="zh-CN"/>
        </w:rPr>
        <w:t>工资类人员经费项目</w:t>
      </w:r>
      <w:r>
        <w:rPr>
          <w:rFonts w:hint="eastAsia" w:ascii="仿宋_GB2312" w:eastAsia="仿宋_GB2312"/>
          <w:sz w:val="32"/>
          <w:szCs w:val="32"/>
          <w:lang w:val="en-US" w:eastAsia="zh-CN"/>
        </w:rPr>
        <w:t>和涉密项目等除外）。</w:t>
      </w:r>
    </w:p>
    <w:p>
      <w:pPr>
        <w:tabs>
          <w:tab w:val="center" w:pos="4475"/>
        </w:tabs>
        <w:spacing w:line="560" w:lineRule="exact"/>
        <w:ind w:firstLine="645"/>
        <w:rPr>
          <w:rFonts w:hint="eastAsia" w:ascii="黑体" w:eastAsia="黑体"/>
          <w:szCs w:val="32"/>
        </w:rPr>
      </w:pPr>
      <w:r>
        <w:rPr>
          <w:rFonts w:hint="eastAsia" w:ascii="黑体" w:eastAsia="黑体"/>
          <w:szCs w:val="32"/>
        </w:rPr>
        <w:br w:type="page"/>
      </w:r>
      <w:r>
        <w:rPr>
          <w:rFonts w:hint="eastAsia" w:ascii="黑体" w:eastAsia="黑体"/>
          <w:szCs w:val="32"/>
        </w:rPr>
        <w:t>第三部分：名词解释</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一、收入科目</w:t>
      </w:r>
    </w:p>
    <w:p>
      <w:pPr>
        <w:spacing w:line="560" w:lineRule="exact"/>
        <w:ind w:firstLine="640" w:firstLineChars="200"/>
        <w:rPr>
          <w:rFonts w:hint="eastAsia" w:eastAsia="仿宋_GB2312"/>
          <w:sz w:val="32"/>
          <w:szCs w:val="32"/>
        </w:rPr>
      </w:pPr>
      <w:r>
        <w:rPr>
          <w:rFonts w:hint="eastAsia" w:ascii="楷体_GB2312" w:hAnsi="楷体_GB2312" w:eastAsia="楷体_GB2312" w:cs="楷体_GB2312"/>
          <w:sz w:val="32"/>
          <w:szCs w:val="32"/>
        </w:rPr>
        <w:t>一般公共预算拨款收入：</w:t>
      </w:r>
      <w:r>
        <w:rPr>
          <w:rFonts w:hint="eastAsia" w:eastAsia="仿宋_GB2312"/>
          <w:sz w:val="32"/>
          <w:szCs w:val="32"/>
        </w:rPr>
        <w:t>指自治区财政当年拨付的资金。</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二、支出科目</w:t>
      </w:r>
    </w:p>
    <w:p>
      <w:pPr>
        <w:spacing w:line="560" w:lineRule="exact"/>
        <w:ind w:firstLine="640" w:firstLineChars="200"/>
        <w:rPr>
          <w:rFonts w:hint="eastAsia" w:eastAsia="仿宋_GB2312"/>
          <w:sz w:val="32"/>
          <w:szCs w:val="32"/>
        </w:rPr>
      </w:pPr>
      <w:r>
        <w:rPr>
          <w:rFonts w:hint="eastAsia" w:eastAsia="仿宋_GB2312"/>
          <w:sz w:val="32"/>
          <w:szCs w:val="32"/>
        </w:rPr>
        <w:t>（一）基本支出：指为保障机构正常运转、完成日常工作任务而发生的人员支出和公用支出。</w:t>
      </w:r>
    </w:p>
    <w:p>
      <w:pPr>
        <w:spacing w:line="560" w:lineRule="exact"/>
        <w:ind w:firstLine="640" w:firstLineChars="200"/>
        <w:rPr>
          <w:rFonts w:hint="eastAsia" w:eastAsia="仿宋_GB2312"/>
          <w:sz w:val="32"/>
          <w:szCs w:val="32"/>
        </w:rPr>
      </w:pPr>
      <w:r>
        <w:rPr>
          <w:rFonts w:hint="eastAsia" w:eastAsia="仿宋_GB2312"/>
          <w:sz w:val="32"/>
          <w:szCs w:val="32"/>
        </w:rPr>
        <w:t>（二）项目支出：指在基本支出之外为完成特定行政任务和事业发展目标所发生的支出。</w:t>
      </w:r>
    </w:p>
    <w:p>
      <w:pPr>
        <w:spacing w:line="560" w:lineRule="exact"/>
        <w:ind w:firstLine="640" w:firstLineChars="200"/>
        <w:rPr>
          <w:rFonts w:hint="eastAsia" w:eastAsia="仿宋_GB2312"/>
          <w:sz w:val="32"/>
          <w:szCs w:val="32"/>
        </w:rPr>
      </w:pPr>
      <w:r>
        <w:rPr>
          <w:rFonts w:hint="eastAsia" w:ascii="黑体" w:hAnsi="黑体" w:eastAsia="黑体" w:cs="黑体"/>
          <w:sz w:val="32"/>
          <w:szCs w:val="32"/>
        </w:rPr>
        <w:t>三、“三公”经费：</w:t>
      </w:r>
      <w:r>
        <w:rPr>
          <w:rFonts w:hint="eastAsia" w:eastAsia="仿宋_GB2312"/>
          <w:sz w:val="32"/>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tabs>
          <w:tab w:val="center" w:pos="4475"/>
        </w:tabs>
        <w:spacing w:line="560" w:lineRule="exact"/>
        <w:ind w:firstLine="645"/>
        <w:rPr>
          <w:rFonts w:hint="eastAsia" w:ascii="仿宋_GB2312" w:hAnsi="宋体"/>
          <w:szCs w:val="32"/>
          <w:highlight w:val="yellow"/>
        </w:rPr>
      </w:pPr>
      <w:r>
        <w:rPr>
          <w:rFonts w:hint="eastAsia" w:ascii="黑体" w:hAnsi="黑体" w:eastAsia="黑体" w:cs="黑体"/>
          <w:sz w:val="32"/>
          <w:szCs w:val="32"/>
        </w:rPr>
        <w:t>四、</w:t>
      </w:r>
      <w:r>
        <w:rPr>
          <w:rFonts w:hint="eastAsia" w:ascii="黑体" w:hAnsi="黑体" w:eastAsia="黑体" w:cs="黑体"/>
          <w:sz w:val="32"/>
          <w:szCs w:val="32"/>
          <w:lang w:eastAsia="zh-CN"/>
        </w:rPr>
        <w:t>事业单位</w:t>
      </w:r>
      <w:r>
        <w:rPr>
          <w:rFonts w:hint="eastAsia" w:ascii="黑体" w:hAnsi="黑体" w:eastAsia="黑体" w:cs="黑体"/>
          <w:sz w:val="32"/>
          <w:szCs w:val="32"/>
        </w:rPr>
        <w:t>运行经费：</w:t>
      </w:r>
      <w:r>
        <w:rPr>
          <w:rFonts w:hint="eastAsia" w:eastAsia="仿宋_GB2312"/>
          <w:sz w:val="32"/>
          <w:szCs w:val="32"/>
        </w:rPr>
        <w:t>为保障</w:t>
      </w:r>
      <w:r>
        <w:rPr>
          <w:rFonts w:hint="eastAsia"/>
          <w:sz w:val="32"/>
          <w:szCs w:val="32"/>
          <w:lang w:eastAsia="zh-CN"/>
        </w:rPr>
        <w:t>事业单位</w:t>
      </w:r>
      <w:r>
        <w:rPr>
          <w:rFonts w:hint="eastAsia"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560" w:lineRule="exact"/>
        <w:ind w:firstLine="645"/>
        <w:rPr>
          <w:rFonts w:hint="eastAsia" w:ascii="黑体" w:eastAsia="黑体"/>
          <w:szCs w:val="32"/>
        </w:rPr>
      </w:pPr>
      <w:r>
        <w:rPr>
          <w:rFonts w:hint="eastAsia" w:ascii="黑体" w:eastAsia="黑体"/>
          <w:szCs w:val="32"/>
        </w:rPr>
        <w:br w:type="page"/>
      </w:r>
      <w:r>
        <w:rPr>
          <w:rFonts w:hint="eastAsia" w:ascii="黑体" w:eastAsia="黑体"/>
          <w:szCs w:val="32"/>
        </w:rPr>
        <w:t>第四部分：</w:t>
      </w:r>
      <w:r>
        <w:rPr>
          <w:rFonts w:hint="eastAsia" w:ascii="黑体" w:hAnsi="宋体" w:eastAsia="黑体"/>
          <w:szCs w:val="32"/>
          <w:lang w:val="en-US" w:eastAsia="zh-CN"/>
        </w:rPr>
        <w:t>广西绢麻纺织科学研究所有限公司</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hAnsi="宋体" w:eastAsia="黑体"/>
          <w:szCs w:val="32"/>
          <w:lang w:eastAsia="zh-CN"/>
        </w:rPr>
        <w:t>单位</w:t>
      </w:r>
      <w:r>
        <w:rPr>
          <w:rFonts w:hint="eastAsia" w:ascii="黑体" w:eastAsia="黑体"/>
          <w:szCs w:val="32"/>
        </w:rPr>
        <w:t>预算</w:t>
      </w:r>
      <w:r>
        <w:rPr>
          <w:rFonts w:hint="eastAsia" w:ascii="黑体" w:eastAsia="黑体"/>
          <w:szCs w:val="32"/>
          <w:lang w:eastAsia="zh-CN"/>
        </w:rPr>
        <w:t>公开</w:t>
      </w:r>
      <w:r>
        <w:rPr>
          <w:rFonts w:hint="eastAsia" w:ascii="黑体" w:eastAsia="黑体"/>
          <w:szCs w:val="32"/>
        </w:rPr>
        <w:t>报表</w:t>
      </w:r>
    </w:p>
    <w:p>
      <w:pPr>
        <w:spacing w:line="560" w:lineRule="exact"/>
        <w:ind w:firstLine="640" w:firstLineChars="200"/>
        <w:rPr>
          <w:rFonts w:eastAsia="黑体"/>
          <w:sz w:val="32"/>
          <w:szCs w:val="32"/>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lang w:eastAsia="zh-CN"/>
        </w:rPr>
        <w:t>单位</w:t>
      </w:r>
      <w:r>
        <w:rPr>
          <w:rFonts w:eastAsia="黑体"/>
          <w:sz w:val="32"/>
          <w:szCs w:val="32"/>
        </w:rPr>
        <w:t>收支总体情况表</w:t>
      </w:r>
    </w:p>
    <w:p>
      <w:pPr>
        <w:spacing w:line="560" w:lineRule="exact"/>
        <w:ind w:firstLine="640" w:firstLineChars="200"/>
        <w:rPr>
          <w:rFonts w:eastAsia="黑体"/>
          <w:sz w:val="32"/>
          <w:szCs w:val="32"/>
        </w:rPr>
      </w:pPr>
      <w:bookmarkStart w:id="0" w:name="_Toc989521"/>
      <w:bookmarkStart w:id="1" w:name="_Toc965980"/>
      <w:bookmarkStart w:id="2" w:name="_Toc32222067"/>
      <w:r>
        <w:rPr>
          <w:rFonts w:eastAsia="黑体"/>
          <w:sz w:val="32"/>
          <w:szCs w:val="32"/>
        </w:rPr>
        <w:t>二</w:t>
      </w:r>
      <w:bookmarkEnd w:id="0"/>
      <w:bookmarkEnd w:id="1"/>
      <w:bookmarkEnd w:id="2"/>
      <w:r>
        <w:rPr>
          <w:rFonts w:eastAsia="黑体"/>
          <w:sz w:val="32"/>
          <w:szCs w:val="32"/>
        </w:rPr>
        <w:t>、</w:t>
      </w:r>
      <w:r>
        <w:rPr>
          <w:rFonts w:hint="eastAsia" w:eastAsia="黑体"/>
          <w:sz w:val="32"/>
          <w:szCs w:val="32"/>
          <w:lang w:eastAsia="zh-CN"/>
        </w:rPr>
        <w:t>单位</w:t>
      </w:r>
      <w:r>
        <w:rPr>
          <w:rFonts w:eastAsia="黑体"/>
          <w:sz w:val="32"/>
          <w:szCs w:val="32"/>
        </w:rPr>
        <w:t>收入总体情况表</w:t>
      </w:r>
    </w:p>
    <w:p>
      <w:pPr>
        <w:spacing w:line="560" w:lineRule="exact"/>
        <w:ind w:firstLine="640" w:firstLineChars="200"/>
        <w:rPr>
          <w:rFonts w:eastAsia="黑体"/>
          <w:sz w:val="32"/>
          <w:szCs w:val="32"/>
        </w:rPr>
      </w:pPr>
      <w:bookmarkStart w:id="3" w:name="_Toc32222068"/>
      <w:bookmarkStart w:id="4" w:name="_Toc989522"/>
      <w:bookmarkStart w:id="5" w:name="_Toc965981"/>
      <w:r>
        <w:rPr>
          <w:rFonts w:eastAsia="黑体"/>
          <w:sz w:val="32"/>
          <w:szCs w:val="32"/>
        </w:rPr>
        <w:t>三</w:t>
      </w:r>
      <w:bookmarkEnd w:id="3"/>
      <w:bookmarkEnd w:id="4"/>
      <w:bookmarkEnd w:id="5"/>
      <w:r>
        <w:rPr>
          <w:rFonts w:eastAsia="黑体"/>
          <w:sz w:val="32"/>
          <w:szCs w:val="32"/>
        </w:rPr>
        <w:t>、</w:t>
      </w:r>
      <w:r>
        <w:rPr>
          <w:rFonts w:hint="eastAsia" w:eastAsia="黑体"/>
          <w:sz w:val="32"/>
          <w:szCs w:val="32"/>
          <w:lang w:eastAsia="zh-CN"/>
        </w:rPr>
        <w:t>单位</w:t>
      </w:r>
      <w:r>
        <w:rPr>
          <w:rFonts w:eastAsia="黑体"/>
          <w:sz w:val="32"/>
          <w:szCs w:val="32"/>
        </w:rPr>
        <w:t>支出总体情况表</w:t>
      </w:r>
    </w:p>
    <w:p>
      <w:pPr>
        <w:spacing w:line="560" w:lineRule="exact"/>
        <w:ind w:firstLine="640" w:firstLineChars="200"/>
        <w:rPr>
          <w:rFonts w:eastAsia="黑体"/>
          <w:sz w:val="32"/>
          <w:szCs w:val="32"/>
        </w:rPr>
      </w:pPr>
      <w:bookmarkStart w:id="6" w:name="_Toc32222069"/>
      <w:bookmarkStart w:id="7" w:name="_Toc965982"/>
      <w:bookmarkStart w:id="8" w:name="_Toc989523"/>
      <w:r>
        <w:rPr>
          <w:rFonts w:eastAsia="黑体"/>
          <w:sz w:val="32"/>
          <w:szCs w:val="32"/>
        </w:rPr>
        <w:t>四</w:t>
      </w:r>
      <w:bookmarkEnd w:id="6"/>
      <w:bookmarkEnd w:id="7"/>
      <w:bookmarkEnd w:id="8"/>
      <w:r>
        <w:rPr>
          <w:rFonts w:eastAsia="黑体"/>
          <w:sz w:val="32"/>
          <w:szCs w:val="32"/>
        </w:rPr>
        <w:t>、财政拨款收支总体情况表</w:t>
      </w:r>
    </w:p>
    <w:p>
      <w:pPr>
        <w:spacing w:line="560" w:lineRule="exact"/>
        <w:ind w:firstLine="640" w:firstLineChars="200"/>
        <w:rPr>
          <w:rFonts w:eastAsia="黑体"/>
          <w:sz w:val="32"/>
          <w:szCs w:val="32"/>
        </w:rPr>
      </w:pPr>
      <w:bookmarkStart w:id="9" w:name="_Toc32222070"/>
      <w:bookmarkStart w:id="10" w:name="_Toc989524"/>
      <w:bookmarkStart w:id="11" w:name="_Toc965983"/>
      <w:r>
        <w:rPr>
          <w:rFonts w:eastAsia="黑体"/>
          <w:sz w:val="32"/>
          <w:szCs w:val="32"/>
        </w:rPr>
        <w:t>五</w:t>
      </w:r>
      <w:bookmarkEnd w:id="9"/>
      <w:bookmarkEnd w:id="10"/>
      <w:bookmarkEnd w:id="11"/>
      <w:r>
        <w:rPr>
          <w:rFonts w:eastAsia="黑体"/>
          <w:sz w:val="32"/>
          <w:szCs w:val="32"/>
        </w:rPr>
        <w:t>、一般公共预算支出情况表</w:t>
      </w:r>
    </w:p>
    <w:p>
      <w:pPr>
        <w:spacing w:line="560" w:lineRule="exact"/>
        <w:ind w:firstLine="640" w:firstLineChars="200"/>
        <w:rPr>
          <w:rFonts w:eastAsia="黑体"/>
          <w:sz w:val="32"/>
          <w:szCs w:val="32"/>
        </w:rPr>
      </w:pPr>
      <w:bookmarkStart w:id="12" w:name="_Toc32222071"/>
      <w:bookmarkStart w:id="13" w:name="_Toc965984"/>
      <w:bookmarkStart w:id="14" w:name="_Toc989525"/>
      <w:r>
        <w:rPr>
          <w:rFonts w:eastAsia="黑体"/>
          <w:sz w:val="32"/>
          <w:szCs w:val="32"/>
        </w:rPr>
        <w:t>六</w:t>
      </w:r>
      <w:bookmarkEnd w:id="12"/>
      <w:bookmarkEnd w:id="13"/>
      <w:bookmarkEnd w:id="14"/>
      <w:r>
        <w:rPr>
          <w:rFonts w:eastAsia="黑体"/>
          <w:sz w:val="32"/>
          <w:szCs w:val="32"/>
        </w:rPr>
        <w:t>、一般公共预算基本支出情况表</w:t>
      </w:r>
    </w:p>
    <w:p>
      <w:pPr>
        <w:spacing w:line="560" w:lineRule="exact"/>
        <w:ind w:firstLine="640" w:firstLineChars="200"/>
        <w:rPr>
          <w:rFonts w:hint="eastAsia" w:ascii="黑体" w:hAnsi="黑体" w:eastAsia="黑体" w:cs="黑体"/>
          <w:sz w:val="32"/>
          <w:szCs w:val="32"/>
        </w:rPr>
      </w:pPr>
      <w:bookmarkStart w:id="15" w:name="_Toc32222072"/>
      <w:bookmarkStart w:id="16" w:name="_Toc989526"/>
      <w:bookmarkStart w:id="17" w:name="_Toc965985"/>
      <w:r>
        <w:rPr>
          <w:rFonts w:hint="eastAsia" w:ascii="黑体" w:hAnsi="黑体" w:eastAsia="黑体" w:cs="黑体"/>
          <w:sz w:val="32"/>
          <w:szCs w:val="32"/>
        </w:rPr>
        <w:t>七</w:t>
      </w:r>
      <w:bookmarkEnd w:id="15"/>
      <w:bookmarkEnd w:id="16"/>
      <w:bookmarkEnd w:id="17"/>
      <w:r>
        <w:rPr>
          <w:rFonts w:hint="eastAsia" w:ascii="黑体" w:hAnsi="黑体" w:eastAsia="黑体" w:cs="黑体"/>
          <w:sz w:val="32"/>
          <w:szCs w:val="32"/>
        </w:rPr>
        <w:t>、财政拨款“三公”经费、会议费和培训费支出情况表</w:t>
      </w:r>
    </w:p>
    <w:p>
      <w:pPr>
        <w:spacing w:line="560" w:lineRule="exact"/>
        <w:ind w:firstLine="640" w:firstLineChars="200"/>
        <w:rPr>
          <w:rFonts w:eastAsia="黑体"/>
          <w:sz w:val="32"/>
          <w:szCs w:val="32"/>
        </w:rPr>
      </w:pPr>
      <w:bookmarkStart w:id="18" w:name="_Toc989527"/>
      <w:bookmarkStart w:id="19" w:name="_Toc965986"/>
      <w:bookmarkStart w:id="20" w:name="_Toc32222073"/>
      <w:r>
        <w:rPr>
          <w:rFonts w:eastAsia="黑体"/>
          <w:sz w:val="32"/>
          <w:szCs w:val="32"/>
        </w:rPr>
        <w:t>八</w:t>
      </w:r>
      <w:bookmarkEnd w:id="18"/>
      <w:bookmarkEnd w:id="19"/>
      <w:bookmarkEnd w:id="20"/>
      <w:r>
        <w:rPr>
          <w:rFonts w:eastAsia="黑体"/>
          <w:sz w:val="32"/>
          <w:szCs w:val="32"/>
        </w:rPr>
        <w:t>、政府性基金预算支出情况表</w:t>
      </w:r>
    </w:p>
    <w:p>
      <w:pPr>
        <w:spacing w:line="560" w:lineRule="exact"/>
        <w:ind w:firstLine="640" w:firstLineChars="200"/>
        <w:rPr>
          <w:rFonts w:eastAsia="黑体"/>
          <w:sz w:val="32"/>
          <w:szCs w:val="32"/>
        </w:rPr>
      </w:pPr>
      <w:r>
        <w:rPr>
          <w:rFonts w:eastAsia="黑体"/>
          <w:sz w:val="32"/>
          <w:szCs w:val="32"/>
        </w:rPr>
        <w:t>九、国有资本经营预算支出情况表</w:t>
      </w:r>
    </w:p>
    <w:p>
      <w:pPr>
        <w:spacing w:line="560" w:lineRule="exact"/>
        <w:ind w:firstLine="640" w:firstLineChars="200"/>
        <w:rPr>
          <w:rFonts w:hint="eastAsia" w:eastAsia="黑体"/>
          <w:sz w:val="32"/>
          <w:szCs w:val="32"/>
        </w:rPr>
      </w:pPr>
      <w:r>
        <w:rPr>
          <w:rFonts w:eastAsia="黑体"/>
          <w:sz w:val="32"/>
          <w:szCs w:val="32"/>
        </w:rPr>
        <w:t>十、</w:t>
      </w:r>
      <w:r>
        <w:rPr>
          <w:rFonts w:hint="eastAsia" w:eastAsia="黑体"/>
          <w:sz w:val="32"/>
          <w:szCs w:val="32"/>
        </w:rPr>
        <w:t>自治区本级项目绩效目标公开表</w:t>
      </w:r>
    </w:p>
    <w:p>
      <w:pPr>
        <w:spacing w:line="560" w:lineRule="exact"/>
        <w:ind w:firstLine="640" w:firstLineChars="200"/>
        <w:rPr>
          <w:rFonts w:hint="eastAsia" w:eastAsia="黑体"/>
          <w:sz w:val="32"/>
          <w:szCs w:val="32"/>
          <w:lang w:eastAsia="zh-CN"/>
        </w:rPr>
      </w:pPr>
      <w:r>
        <w:rPr>
          <w:rFonts w:hint="eastAsia" w:eastAsia="黑体"/>
          <w:sz w:val="32"/>
          <w:szCs w:val="32"/>
          <w:lang w:eastAsia="zh-CN"/>
        </w:rPr>
        <w:t>十一、自治区对下转移支付项目绩效目标公开表</w:t>
      </w:r>
    </w:p>
    <w:p>
      <w:pPr>
        <w:spacing w:line="560" w:lineRule="exact"/>
        <w:ind w:firstLine="640" w:firstLineChars="200"/>
      </w:pPr>
      <w:r>
        <w:rPr>
          <w:rFonts w:eastAsia="黑体"/>
          <w:sz w:val="32"/>
          <w:szCs w:val="32"/>
        </w:rPr>
        <w:t>上述报表详见附件：</w:t>
      </w:r>
      <w:r>
        <w:rPr>
          <w:rFonts w:hint="eastAsia" w:eastAsia="黑体"/>
          <w:sz w:val="32"/>
          <w:szCs w:val="32"/>
          <w:lang w:val="en-US" w:eastAsia="zh-CN"/>
        </w:rPr>
        <w:t>广西绢麻纺织科学研究所有限公司</w:t>
      </w:r>
      <w:r>
        <w:rPr>
          <w:rFonts w:eastAsia="黑体"/>
          <w:sz w:val="32"/>
          <w:szCs w:val="32"/>
        </w:rPr>
        <w:t>202</w:t>
      </w:r>
      <w:r>
        <w:rPr>
          <w:rFonts w:hint="eastAsia" w:eastAsia="黑体"/>
          <w:sz w:val="32"/>
          <w:szCs w:val="32"/>
          <w:lang w:val="en-US" w:eastAsia="zh-CN"/>
        </w:rPr>
        <w:t>4</w:t>
      </w:r>
      <w:r>
        <w:rPr>
          <w:rFonts w:eastAsia="黑体"/>
          <w:sz w:val="32"/>
          <w:szCs w:val="32"/>
        </w:rPr>
        <w:t>年</w:t>
      </w:r>
      <w:r>
        <w:rPr>
          <w:rFonts w:hint="eastAsia" w:eastAsia="黑体"/>
          <w:sz w:val="32"/>
          <w:szCs w:val="32"/>
          <w:lang w:eastAsia="zh-CN"/>
        </w:rPr>
        <w:t>单位</w:t>
      </w:r>
      <w:r>
        <w:rPr>
          <w:rFonts w:eastAsia="黑体"/>
          <w:sz w:val="32"/>
          <w:szCs w:val="32"/>
        </w:rPr>
        <w:t>预算公开表</w:t>
      </w:r>
    </w:p>
    <w:p>
      <w:pPr>
        <w:tabs>
          <w:tab w:val="center" w:pos="4475"/>
        </w:tabs>
        <w:spacing w:line="560" w:lineRule="exact"/>
        <w:ind w:firstLine="645"/>
        <w:rPr>
          <w:rFonts w:hint="eastAsia" w:ascii="仿宋_GB2312" w:hAnsi="宋体"/>
          <w:szCs w:val="32"/>
          <w:highlight w:val="none"/>
          <w:u w:val="single"/>
        </w:rPr>
        <w:sectPr>
          <w:footerReference r:id="rId6" w:type="default"/>
          <w:type w:val="continuous"/>
          <w:pgSz w:w="11906" w:h="16838"/>
          <w:pgMar w:top="2098" w:right="1417" w:bottom="1984" w:left="1587" w:header="851" w:footer="992" w:gutter="0"/>
          <w:pgNumType w:fmt="decimal" w:start="1"/>
          <w:cols w:space="720" w:num="1"/>
          <w:docGrid w:linePitch="634" w:charSpace="-2109"/>
        </w:sectPr>
      </w:pPr>
    </w:p>
    <w:p>
      <w:pPr>
        <w:pStyle w:val="2"/>
        <w:rPr>
          <w:rFonts w:hint="eastAsia"/>
        </w:rPr>
      </w:pPr>
    </w:p>
    <w:sectPr>
      <w:type w:val="continuous"/>
      <w:pgSz w:w="11906" w:h="16838"/>
      <w:pgMar w:top="2098" w:right="1417" w:bottom="1984" w:left="1587" w:header="851" w:footer="992" w:gutter="0"/>
      <w:pgNumType w:fmt="decimal" w:start="1"/>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85EC051-ACB1-4325-A171-68C4307B13B8}"/>
  </w:font>
  <w:font w:name="黑体">
    <w:panose1 w:val="02010609060101010101"/>
    <w:charset w:val="86"/>
    <w:family w:val="auto"/>
    <w:pitch w:val="default"/>
    <w:sig w:usb0="800002BF" w:usb1="38CF7CFA" w:usb2="00000016" w:usb3="00000000" w:csb0="00040001" w:csb1="00000000"/>
    <w:embedRegular r:id="rId2" w:fontKey="{F8D51265-24A3-4126-B137-CF28C7E461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32747E58-9BC5-48DD-ABB4-407C57C97557}"/>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90B82EFB-CDD5-4D14-B91A-07492B81175B}"/>
  </w:font>
  <w:font w:name="仿宋">
    <w:panose1 w:val="02010609060101010101"/>
    <w:charset w:val="86"/>
    <w:family w:val="modern"/>
    <w:pitch w:val="default"/>
    <w:sig w:usb0="800002BF" w:usb1="38CF7CFA" w:usb2="00000016" w:usb3="00000000" w:csb0="00040001" w:csb1="00000000"/>
    <w:embedRegular r:id="rId5" w:fontKey="{56884D34-BAEC-4F73-9EF9-85CC3E196671}"/>
  </w:font>
  <w:font w:name="楷体_GB2312">
    <w:panose1 w:val="02010609030101010101"/>
    <w:charset w:val="86"/>
    <w:family w:val="modern"/>
    <w:pitch w:val="default"/>
    <w:sig w:usb0="00000001" w:usb1="080E0000" w:usb2="00000000" w:usb3="00000000" w:csb0="00040000" w:csb1="00000000"/>
    <w:embedRegular r:id="rId6" w:fontKey="{ECA4CEA2-2089-4B7E-8DAD-88F2CE821F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v/OOIBAADMAwAADgAAAGRycy9lMm9Eb2MueG1srVPNjtMwEL4j8Q6W&#10;7zTZg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f86ZE5Yu/Pzj+/nn7/Ovb+xF&#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lv/OOIBAADMAwAADgAA&#10;AAAAAAABACAAAAAeAQAAZHJzL2Uyb0RvYy54bWxQSwUGAAAAAAYABgBZAQAAcgUAAAAA&#10;">
              <v:fill on="f" focussize="0,0"/>
              <v:stroke on="f"/>
              <v:imagedata o:title=""/>
              <o:lock v:ext="edit" aspectratio="f"/>
              <v:textbox inset="0mm,0mm,0mm,0mm" style="mso-fit-shape-to-text:t;">
                <w:txbxContent>
                  <w:p>
                    <w:pPr>
                      <w:pStyle w:val="7"/>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Style w:val="12"/>
                              <w:rFonts w:hint="eastAsia" w:ascii="宋体" w:hAnsi="宋体" w:eastAsia="宋体" w:cs="宋体"/>
                              <w:sz w:val="32"/>
                              <w:szCs w:val="32"/>
                            </w:rPr>
                          </w:pPr>
                          <w:r>
                            <w:rPr>
                              <w:rStyle w:val="12"/>
                              <w:rFonts w:hint="eastAsia" w:ascii="宋体" w:hAnsi="宋体" w:eastAsia="宋体" w:cs="宋体"/>
                              <w:sz w:val="28"/>
                              <w:szCs w:val="28"/>
                              <w:lang w:eastAsia="zh-CN"/>
                            </w:rPr>
                            <w:t>—</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- 6 -</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lang w:eastAsia="zh-CN"/>
                            </w:rPr>
                            <w:t>—</w:t>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xn8Iz4QEAAMwDAAAOAAAA&#10;AAAAAAEAIAAAAB4BAABkcnMvZTJvRG9jLnhtbFBLBQYAAAAABgAGAFkBAABxBQAAAAA=&#10;">
              <v:fill on="f" focussize="0,0"/>
              <v:stroke on="f"/>
              <v:imagedata o:title=""/>
              <o:lock v:ext="edit" aspectratio="f"/>
              <v:textbox inset="0mm,0mm,0mm,0mm" style="mso-fit-shape-to-text:t;">
                <w:txbxContent>
                  <w:p>
                    <w:pPr>
                      <w:pStyle w:val="7"/>
                      <w:rPr>
                        <w:rStyle w:val="12"/>
                        <w:rFonts w:hint="eastAsia" w:ascii="宋体" w:hAnsi="宋体" w:eastAsia="宋体" w:cs="宋体"/>
                        <w:sz w:val="32"/>
                        <w:szCs w:val="32"/>
                      </w:rPr>
                    </w:pPr>
                    <w:r>
                      <w:rPr>
                        <w:rStyle w:val="12"/>
                        <w:rFonts w:hint="eastAsia" w:ascii="宋体" w:hAnsi="宋体" w:eastAsia="宋体" w:cs="宋体"/>
                        <w:sz w:val="28"/>
                        <w:szCs w:val="28"/>
                        <w:lang w:eastAsia="zh-CN"/>
                      </w:rPr>
                      <w:t>—</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- 6 -</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5"/>
  <w:drawingGridVerticalSpacing w:val="317"/>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MzFmN2YwYWQ3MjI5MWI5YjBlMjFkMWE5MzI2Y2EifQ=="/>
  </w:docVars>
  <w:rsids>
    <w:rsidRoot w:val="20637946"/>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2A227A1"/>
    <w:rsid w:val="02BC8CDB"/>
    <w:rsid w:val="039C3881"/>
    <w:rsid w:val="05933061"/>
    <w:rsid w:val="05D40ED5"/>
    <w:rsid w:val="07E699FE"/>
    <w:rsid w:val="07FFE53C"/>
    <w:rsid w:val="086DD7AA"/>
    <w:rsid w:val="095C6168"/>
    <w:rsid w:val="0B046FAD"/>
    <w:rsid w:val="0B161686"/>
    <w:rsid w:val="0B633214"/>
    <w:rsid w:val="0C7B3545"/>
    <w:rsid w:val="0C7F09B3"/>
    <w:rsid w:val="0E62092E"/>
    <w:rsid w:val="0F1E57CB"/>
    <w:rsid w:val="0F4E1CE6"/>
    <w:rsid w:val="0F9B5DD6"/>
    <w:rsid w:val="109062FE"/>
    <w:rsid w:val="1237E4C9"/>
    <w:rsid w:val="1281F7A2"/>
    <w:rsid w:val="12E2B9E2"/>
    <w:rsid w:val="12ED0EC0"/>
    <w:rsid w:val="12F44800"/>
    <w:rsid w:val="1344744A"/>
    <w:rsid w:val="14CB2281"/>
    <w:rsid w:val="14EB1EA6"/>
    <w:rsid w:val="164F90F4"/>
    <w:rsid w:val="16F7C21B"/>
    <w:rsid w:val="1729ACC8"/>
    <w:rsid w:val="17571DC4"/>
    <w:rsid w:val="17791834"/>
    <w:rsid w:val="178C5B7F"/>
    <w:rsid w:val="17E0804B"/>
    <w:rsid w:val="18271437"/>
    <w:rsid w:val="183575C5"/>
    <w:rsid w:val="192F08FF"/>
    <w:rsid w:val="19E217B5"/>
    <w:rsid w:val="1BB433A6"/>
    <w:rsid w:val="1C19367C"/>
    <w:rsid w:val="1C65CE61"/>
    <w:rsid w:val="1C6788C1"/>
    <w:rsid w:val="1C746B04"/>
    <w:rsid w:val="1CB96604"/>
    <w:rsid w:val="1E2AF48D"/>
    <w:rsid w:val="1E380FD6"/>
    <w:rsid w:val="1E7F1ED3"/>
    <w:rsid w:val="1EEF4CAA"/>
    <w:rsid w:val="1F7367C2"/>
    <w:rsid w:val="1F850629"/>
    <w:rsid w:val="1F92D502"/>
    <w:rsid w:val="20637946"/>
    <w:rsid w:val="20C060CE"/>
    <w:rsid w:val="211B24A0"/>
    <w:rsid w:val="225D3EDB"/>
    <w:rsid w:val="23343C97"/>
    <w:rsid w:val="23F9AEE7"/>
    <w:rsid w:val="2409F197"/>
    <w:rsid w:val="241670AD"/>
    <w:rsid w:val="24D9617E"/>
    <w:rsid w:val="257FCAA2"/>
    <w:rsid w:val="265310B0"/>
    <w:rsid w:val="2685F628"/>
    <w:rsid w:val="27141CE6"/>
    <w:rsid w:val="27211E13"/>
    <w:rsid w:val="27470AF1"/>
    <w:rsid w:val="2886562F"/>
    <w:rsid w:val="29453D57"/>
    <w:rsid w:val="29E07EDE"/>
    <w:rsid w:val="29EC617A"/>
    <w:rsid w:val="2A081C46"/>
    <w:rsid w:val="2ADC0D9D"/>
    <w:rsid w:val="2AF056E4"/>
    <w:rsid w:val="2B0466B5"/>
    <w:rsid w:val="2B9E2E03"/>
    <w:rsid w:val="2BB00DAD"/>
    <w:rsid w:val="2BC0ACD6"/>
    <w:rsid w:val="2BFD77D7"/>
    <w:rsid w:val="2C281031"/>
    <w:rsid w:val="2CF27645"/>
    <w:rsid w:val="2D5A48F2"/>
    <w:rsid w:val="2D9F6470"/>
    <w:rsid w:val="2DEA83BE"/>
    <w:rsid w:val="2E8C60BE"/>
    <w:rsid w:val="2EE85D71"/>
    <w:rsid w:val="2EF7B50A"/>
    <w:rsid w:val="2F205A78"/>
    <w:rsid w:val="2F39DB05"/>
    <w:rsid w:val="2F4F10D4"/>
    <w:rsid w:val="30091595"/>
    <w:rsid w:val="30E8C1B8"/>
    <w:rsid w:val="30ED7D7D"/>
    <w:rsid w:val="314868B7"/>
    <w:rsid w:val="316C19ED"/>
    <w:rsid w:val="31E439A4"/>
    <w:rsid w:val="33251230"/>
    <w:rsid w:val="34457B5C"/>
    <w:rsid w:val="34A24979"/>
    <w:rsid w:val="34E27631"/>
    <w:rsid w:val="34F8525C"/>
    <w:rsid w:val="352D7832"/>
    <w:rsid w:val="3548FDEB"/>
    <w:rsid w:val="357FD824"/>
    <w:rsid w:val="363CF5F4"/>
    <w:rsid w:val="36547D2E"/>
    <w:rsid w:val="366C07F6"/>
    <w:rsid w:val="366D7E3A"/>
    <w:rsid w:val="370237FC"/>
    <w:rsid w:val="3753C52B"/>
    <w:rsid w:val="37C91FA2"/>
    <w:rsid w:val="37E1B070"/>
    <w:rsid w:val="37FE06C5"/>
    <w:rsid w:val="382D6C73"/>
    <w:rsid w:val="384A33D4"/>
    <w:rsid w:val="3878573E"/>
    <w:rsid w:val="3894610C"/>
    <w:rsid w:val="38CA0A21"/>
    <w:rsid w:val="394713E7"/>
    <w:rsid w:val="3ABFCEC7"/>
    <w:rsid w:val="3AFB3611"/>
    <w:rsid w:val="3B426235"/>
    <w:rsid w:val="3D163AC2"/>
    <w:rsid w:val="3DE7B69D"/>
    <w:rsid w:val="3E58800E"/>
    <w:rsid w:val="3F7F96F6"/>
    <w:rsid w:val="3FE33B84"/>
    <w:rsid w:val="3FEF4F03"/>
    <w:rsid w:val="41940632"/>
    <w:rsid w:val="41AA225B"/>
    <w:rsid w:val="41D34149"/>
    <w:rsid w:val="41DD3383"/>
    <w:rsid w:val="4306688E"/>
    <w:rsid w:val="438B8207"/>
    <w:rsid w:val="442C7EFA"/>
    <w:rsid w:val="444EBE05"/>
    <w:rsid w:val="4486BA87"/>
    <w:rsid w:val="44DFCA82"/>
    <w:rsid w:val="45827D8E"/>
    <w:rsid w:val="45C54AB8"/>
    <w:rsid w:val="45FB396E"/>
    <w:rsid w:val="46B7BED3"/>
    <w:rsid w:val="47FDC78F"/>
    <w:rsid w:val="48160250"/>
    <w:rsid w:val="48271746"/>
    <w:rsid w:val="48B00C96"/>
    <w:rsid w:val="48DAC58F"/>
    <w:rsid w:val="4976C342"/>
    <w:rsid w:val="49AC71D5"/>
    <w:rsid w:val="4A031279"/>
    <w:rsid w:val="4B320F29"/>
    <w:rsid w:val="4B573171"/>
    <w:rsid w:val="4D561255"/>
    <w:rsid w:val="4D5FEEC7"/>
    <w:rsid w:val="4DB873AF"/>
    <w:rsid w:val="4ECA0DDF"/>
    <w:rsid w:val="4ED05EC4"/>
    <w:rsid w:val="4F3411DF"/>
    <w:rsid w:val="4F422ABE"/>
    <w:rsid w:val="4FB6792B"/>
    <w:rsid w:val="4FD2582B"/>
    <w:rsid w:val="5087393A"/>
    <w:rsid w:val="50DF50E8"/>
    <w:rsid w:val="512C8F91"/>
    <w:rsid w:val="51CE4983"/>
    <w:rsid w:val="5292046C"/>
    <w:rsid w:val="52AC639D"/>
    <w:rsid w:val="52C2463E"/>
    <w:rsid w:val="53D51868"/>
    <w:rsid w:val="5491520A"/>
    <w:rsid w:val="54B06A29"/>
    <w:rsid w:val="555BEB9B"/>
    <w:rsid w:val="55767C18"/>
    <w:rsid w:val="559414C1"/>
    <w:rsid w:val="56D41F2A"/>
    <w:rsid w:val="57155349"/>
    <w:rsid w:val="57C92B65"/>
    <w:rsid w:val="57D68B69"/>
    <w:rsid w:val="58EE26DD"/>
    <w:rsid w:val="5930B484"/>
    <w:rsid w:val="594164A6"/>
    <w:rsid w:val="59986711"/>
    <w:rsid w:val="59B930EB"/>
    <w:rsid w:val="59C8F919"/>
    <w:rsid w:val="59F643B5"/>
    <w:rsid w:val="5A364359"/>
    <w:rsid w:val="5B94D002"/>
    <w:rsid w:val="5BB82434"/>
    <w:rsid w:val="5C18C663"/>
    <w:rsid w:val="5C25B6DB"/>
    <w:rsid w:val="5CADDDB2"/>
    <w:rsid w:val="5D692707"/>
    <w:rsid w:val="5D8E729F"/>
    <w:rsid w:val="5D99194B"/>
    <w:rsid w:val="5DAD4197"/>
    <w:rsid w:val="5DBC2DC2"/>
    <w:rsid w:val="5E820A90"/>
    <w:rsid w:val="5EEE0395"/>
    <w:rsid w:val="5EF8BC2D"/>
    <w:rsid w:val="5F51B03E"/>
    <w:rsid w:val="5F8D6E7E"/>
    <w:rsid w:val="5FEC89AE"/>
    <w:rsid w:val="5FF7E754"/>
    <w:rsid w:val="608A01B5"/>
    <w:rsid w:val="60BD799E"/>
    <w:rsid w:val="616D85D4"/>
    <w:rsid w:val="61D1EC89"/>
    <w:rsid w:val="61EB5B31"/>
    <w:rsid w:val="621A464F"/>
    <w:rsid w:val="62257DC7"/>
    <w:rsid w:val="62DD4C7C"/>
    <w:rsid w:val="6365582E"/>
    <w:rsid w:val="63F74610"/>
    <w:rsid w:val="641251A4"/>
    <w:rsid w:val="64278614"/>
    <w:rsid w:val="64F7C562"/>
    <w:rsid w:val="6519D888"/>
    <w:rsid w:val="65B86F83"/>
    <w:rsid w:val="66BE39A7"/>
    <w:rsid w:val="66FF287D"/>
    <w:rsid w:val="6719F58A"/>
    <w:rsid w:val="6788B669"/>
    <w:rsid w:val="680E3B3D"/>
    <w:rsid w:val="68250890"/>
    <w:rsid w:val="68F46815"/>
    <w:rsid w:val="696B58A0"/>
    <w:rsid w:val="69D9BB28"/>
    <w:rsid w:val="6A61A637"/>
    <w:rsid w:val="6A7FE0E4"/>
    <w:rsid w:val="6AAEC6BE"/>
    <w:rsid w:val="6B9EC831"/>
    <w:rsid w:val="6BE33607"/>
    <w:rsid w:val="6C2B82E6"/>
    <w:rsid w:val="6CA86A07"/>
    <w:rsid w:val="6D672802"/>
    <w:rsid w:val="6D8F9A0D"/>
    <w:rsid w:val="6E7F7CA2"/>
    <w:rsid w:val="6EF0768B"/>
    <w:rsid w:val="6EF98F29"/>
    <w:rsid w:val="6EFFAAF7"/>
    <w:rsid w:val="6F370469"/>
    <w:rsid w:val="6F3C4BD8"/>
    <w:rsid w:val="6F637226"/>
    <w:rsid w:val="6F6861D8"/>
    <w:rsid w:val="6FB2C347"/>
    <w:rsid w:val="7042DF02"/>
    <w:rsid w:val="7054D8D5"/>
    <w:rsid w:val="70FD0F09"/>
    <w:rsid w:val="71396FED"/>
    <w:rsid w:val="72725FD6"/>
    <w:rsid w:val="72A8DD89"/>
    <w:rsid w:val="72F14417"/>
    <w:rsid w:val="73EB5696"/>
    <w:rsid w:val="75355EE9"/>
    <w:rsid w:val="75778E65"/>
    <w:rsid w:val="757F2D5F"/>
    <w:rsid w:val="760027EE"/>
    <w:rsid w:val="767470E8"/>
    <w:rsid w:val="76B821E8"/>
    <w:rsid w:val="76F72701"/>
    <w:rsid w:val="7755A19B"/>
    <w:rsid w:val="777645C0"/>
    <w:rsid w:val="777A0700"/>
    <w:rsid w:val="77ABD0FB"/>
    <w:rsid w:val="77D59FF9"/>
    <w:rsid w:val="77E724EF"/>
    <w:rsid w:val="77F7F754"/>
    <w:rsid w:val="78046F73"/>
    <w:rsid w:val="781E5B32"/>
    <w:rsid w:val="794A7B5B"/>
    <w:rsid w:val="79CF2E67"/>
    <w:rsid w:val="79DA534C"/>
    <w:rsid w:val="7A5CECE7"/>
    <w:rsid w:val="7A867FD2"/>
    <w:rsid w:val="7B4E570C"/>
    <w:rsid w:val="7BB17F9B"/>
    <w:rsid w:val="7BB433D8"/>
    <w:rsid w:val="7BFBE4D9"/>
    <w:rsid w:val="7C26C727"/>
    <w:rsid w:val="7CA9D269"/>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qFormat/>
    <w:uiPriority w:val="0"/>
    <w:rPr>
      <w:rFonts w:ascii="Times New Roman" w:hAnsi="Times New Roman" w:eastAsia="宋体" w:cs="Times New Roman"/>
    </w:rPr>
  </w:style>
  <w:style w:type="table" w:default="1" w:styleId="9">
    <w:name w:val="Normal Table"/>
    <w:qFormat/>
    <w:uiPriority w:val="0"/>
    <w:rPr>
      <w:rFonts w:ascii="Times New Roman" w:hAnsi="Times New Roman" w:eastAsia="宋体" w:cs="Times New Roman"/>
    </w:rPr>
    <w:tblPr>
      <w:tblStyle w:val="9"/>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Plain Text"/>
    <w:basedOn w:val="1"/>
    <w:qFormat/>
    <w:uiPriority w:val="0"/>
    <w:rPr>
      <w:rFonts w:ascii="宋体" w:hAnsi="Courier New" w:eastAsia="宋体" w:cs="Courier New"/>
      <w:szCs w:val="21"/>
    </w:rPr>
  </w:style>
  <w:style w:type="paragraph" w:styleId="5">
    <w:name w:val="Date"/>
    <w:basedOn w:val="1"/>
    <w:next w:val="1"/>
    <w:qFormat/>
    <w:uiPriority w:val="0"/>
    <w:pPr>
      <w:ind w:left="100" w:leftChars="2500"/>
    </w:pPr>
    <w:rPr>
      <w:rFonts w:ascii="Times New Roman" w:hAnsi="Times New Roman" w:eastAsia="宋体" w:cs="Times New Roman"/>
    </w:rPr>
  </w:style>
  <w:style w:type="paragraph" w:styleId="6">
    <w:name w:val="Balloon Text"/>
    <w:basedOn w:val="1"/>
    <w:uiPriority w:val="0"/>
    <w:rPr>
      <w:rFonts w:ascii="Times New Roman" w:hAnsi="Times New Roman" w:eastAsia="宋体" w:cs="Times New Roman"/>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uiPriority w:val="0"/>
    <w:rPr>
      <w:rFonts w:ascii="Times New Roman" w:hAnsi="Times New Roman" w:eastAsia="宋体" w:cs="Times New Roman"/>
      <w:b/>
      <w:bCs/>
    </w:rPr>
  </w:style>
  <w:style w:type="character" w:styleId="12">
    <w:name w:val="page number"/>
    <w:basedOn w:val="10"/>
    <w:qFormat/>
    <w:uiPriority w:val="0"/>
    <w:rPr>
      <w:rFonts w:ascii="Times New Roman" w:hAnsi="Times New Roman" w:eastAsia="宋体" w:cs="Times New Roman"/>
    </w:rPr>
  </w:style>
  <w:style w:type="paragraph" w:customStyle="1" w:styleId="13">
    <w:name w:val="Char Char Char Char Char Char Char"/>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2185</Words>
  <Characters>2425</Characters>
  <Lines>22</Lines>
  <Paragraphs>6</Paragraphs>
  <TotalTime>2</TotalTime>
  <ScaleCrop>false</ScaleCrop>
  <LinksUpToDate>false</LinksUpToDate>
  <CharactersWithSpaces>2427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2024-02-01T08:41:00Z</dcterms:created>
  <dc:creator>Administrator</dc:creator>
  <cp:lastModifiedBy>hua_duo_zu¶</cp:lastModifiedBy>
  <dcterms:modified xsi:type="dcterms:W3CDTF">2024-03-07T03:23:01Z</dcterms:modified>
  <dc:title>广西壮族自治区财政厅2014年部门预算</dc:title>
  <cp:revision>457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D9CD17570D664AFE8D5D46429ECB889C_13</vt:lpwstr>
  </property>
</Properties>
</file>