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600" w:lineRule="exact"/>
        <w:textAlignment w:val="auto"/>
        <w:rPr>
          <w:rFonts w:ascii="仿宋_GB2312" w:eastAsia="仿宋_GB2312" w:cs="ArialUnicodeMS"/>
          <w:kern w:val="0"/>
          <w:sz w:val="32"/>
          <w:szCs w:val="32"/>
        </w:rPr>
      </w:pPr>
    </w:p>
    <w:p>
      <w:pPr>
        <w:keepNext w:val="0"/>
        <w:keepLines w:val="0"/>
        <w:pageBreakBefore w:val="0"/>
        <w:widowControl w:val="0"/>
        <w:kinsoku/>
        <w:wordWrap/>
        <w:overflowPunct/>
        <w:topLinePunct w:val="0"/>
        <w:bidi w:val="0"/>
        <w:snapToGrid/>
        <w:spacing w:line="600" w:lineRule="exact"/>
        <w:textAlignment w:val="auto"/>
        <w:rPr>
          <w:rFonts w:ascii="黑体" w:eastAsia="黑体" w:cs="ArialUnicodeMS"/>
          <w:kern w:val="0"/>
          <w:sz w:val="72"/>
          <w:szCs w:val="72"/>
        </w:rPr>
      </w:pP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72"/>
          <w:szCs w:val="7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Theme="minorEastAsia" w:hAnsiTheme="minorEastAsia" w:eastAsiaTheme="minorEastAsia" w:cstheme="minorEastAsia"/>
          <w:b/>
          <w:bCs/>
          <w:kern w:val="0"/>
          <w:sz w:val="52"/>
          <w:szCs w:val="5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Theme="minorEastAsia" w:hAnsiTheme="minorEastAsia" w:eastAsiaTheme="minorEastAsia" w:cstheme="minorEastAsia"/>
          <w:b/>
          <w:bCs/>
          <w:kern w:val="0"/>
          <w:sz w:val="52"/>
          <w:szCs w:val="5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Theme="minorEastAsia" w:hAnsiTheme="minorEastAsia" w:eastAsiaTheme="minorEastAsia" w:cstheme="minorEastAsia"/>
          <w:b/>
          <w:bCs/>
          <w:kern w:val="0"/>
          <w:sz w:val="52"/>
          <w:szCs w:val="5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Theme="minorEastAsia" w:hAnsiTheme="minorEastAsia" w:eastAsiaTheme="minorEastAsia" w:cstheme="minorEastAsia"/>
          <w:b/>
          <w:bCs/>
          <w:kern w:val="0"/>
          <w:sz w:val="52"/>
          <w:szCs w:val="5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Theme="minorEastAsia" w:hAnsiTheme="minorEastAsia" w:eastAsiaTheme="minorEastAsia" w:cstheme="minorEastAsia"/>
          <w:b/>
          <w:bCs/>
          <w:kern w:val="0"/>
          <w:sz w:val="52"/>
          <w:szCs w:val="52"/>
        </w:rPr>
      </w:pP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kern w:val="0"/>
          <w:sz w:val="52"/>
          <w:szCs w:val="52"/>
        </w:rPr>
        <w:t>广西绢麻纺织科学研究所有限公司</w:t>
      </w:r>
    </w:p>
    <w:p>
      <w:pPr>
        <w:keepNext w:val="0"/>
        <w:keepLines w:val="0"/>
        <w:pageBreakBefore w:val="0"/>
        <w:widowControl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b w:val="0"/>
          <w:bCs w:val="0"/>
          <w:kern w:val="0"/>
          <w:sz w:val="52"/>
          <w:szCs w:val="52"/>
        </w:rPr>
      </w:pPr>
      <w:r>
        <w:rPr>
          <w:rFonts w:hint="eastAsia" w:ascii="方正小标宋简体" w:hAnsi="方正小标宋简体" w:eastAsia="方正小标宋简体" w:cs="方正小标宋简体"/>
          <w:b w:val="0"/>
          <w:bCs w:val="0"/>
          <w:kern w:val="0"/>
          <w:sz w:val="52"/>
          <w:szCs w:val="52"/>
          <w:lang w:eastAsia="zh-CN"/>
        </w:rPr>
        <w:t>2022</w:t>
      </w:r>
      <w:r>
        <w:rPr>
          <w:rFonts w:hint="eastAsia" w:ascii="方正小标宋简体" w:hAnsi="方正小标宋简体" w:eastAsia="方正小标宋简体" w:cs="方正小标宋简体"/>
          <w:b w:val="0"/>
          <w:bCs w:val="0"/>
          <w:kern w:val="0"/>
          <w:sz w:val="52"/>
          <w:szCs w:val="52"/>
        </w:rPr>
        <w:t>年度部门决算</w:t>
      </w: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84"/>
          <w:szCs w:val="84"/>
        </w:rPr>
      </w:pP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84"/>
          <w:szCs w:val="84"/>
        </w:rPr>
      </w:pP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84"/>
          <w:szCs w:val="84"/>
        </w:rPr>
      </w:pP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84"/>
          <w:szCs w:val="84"/>
        </w:rPr>
      </w:pP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84"/>
          <w:szCs w:val="84"/>
        </w:rPr>
      </w:pPr>
    </w:p>
    <w:p>
      <w:pPr>
        <w:keepNext w:val="0"/>
        <w:keepLines w:val="0"/>
        <w:pageBreakBefore w:val="0"/>
        <w:widowControl w:val="0"/>
        <w:kinsoku/>
        <w:wordWrap/>
        <w:overflowPunct/>
        <w:topLinePunct w:val="0"/>
        <w:bidi w:val="0"/>
        <w:snapToGrid/>
        <w:spacing w:line="600" w:lineRule="exact"/>
        <w:textAlignment w:val="auto"/>
        <w:rPr>
          <w:rFonts w:asciiTheme="minorEastAsia" w:hAnsiTheme="minorEastAsia" w:eastAsiaTheme="minorEastAsia" w:cstheme="minorEastAsia"/>
          <w:kern w:val="0"/>
          <w:sz w:val="84"/>
          <w:szCs w:val="84"/>
        </w:rPr>
      </w:pPr>
    </w:p>
    <w:p>
      <w:pPr>
        <w:pStyle w:val="2"/>
        <w:rPr>
          <w:rFonts w:asciiTheme="minorEastAsia" w:hAnsiTheme="minorEastAsia" w:eastAsiaTheme="minorEastAsia" w:cstheme="minorEastAsia"/>
          <w:kern w:val="0"/>
          <w:sz w:val="84"/>
          <w:szCs w:val="84"/>
        </w:rPr>
      </w:pPr>
    </w:p>
    <w:p>
      <w:pPr>
        <w:rPr>
          <w:rFonts w:asciiTheme="minorEastAsia" w:hAnsiTheme="minorEastAsia" w:eastAsiaTheme="minorEastAsia" w:cstheme="minorEastAsia"/>
          <w:kern w:val="0"/>
          <w:sz w:val="84"/>
          <w:szCs w:val="84"/>
        </w:rPr>
      </w:pPr>
    </w:p>
    <w:p>
      <w:pPr>
        <w:keepNext w:val="0"/>
        <w:keepLines w:val="0"/>
        <w:pageBreakBefore w:val="0"/>
        <w:widowControl w:val="0"/>
        <w:kinsoku/>
        <w:wordWrap/>
        <w:overflowPunct/>
        <w:topLinePunct w:val="0"/>
        <w:bidi w:val="0"/>
        <w:snapToGrid/>
        <w:spacing w:line="600" w:lineRule="exact"/>
        <w:jc w:val="center"/>
        <w:textAlignment w:val="auto"/>
        <w:rPr>
          <w:rFonts w:asciiTheme="minorEastAsia" w:hAnsiTheme="minorEastAsia" w:eastAsiaTheme="minorEastAsia" w:cstheme="minorEastAsia"/>
          <w:kern w:val="0"/>
          <w:sz w:val="44"/>
          <w:szCs w:val="44"/>
        </w:rPr>
      </w:pPr>
    </w:p>
    <w:p>
      <w:pPr>
        <w:keepNext w:val="0"/>
        <w:keepLines w:val="0"/>
        <w:pageBreakBefore w:val="0"/>
        <w:widowControl w:val="0"/>
        <w:kinsoku/>
        <w:wordWrap/>
        <w:overflowPunct/>
        <w:topLinePunct w:val="0"/>
        <w:bidi w:val="0"/>
        <w:snapToGrid/>
        <w:spacing w:line="600" w:lineRule="exact"/>
        <w:jc w:val="center"/>
        <w:textAlignment w:val="auto"/>
        <w:rPr>
          <w:rFonts w:asciiTheme="minorEastAsia" w:hAnsiTheme="minorEastAsia" w:eastAsiaTheme="minorEastAsia" w:cstheme="minorEastAsia"/>
          <w:kern w:val="0"/>
          <w:sz w:val="44"/>
          <w:szCs w:val="44"/>
        </w:rPr>
      </w:pPr>
    </w:p>
    <w:p>
      <w:pPr>
        <w:keepNext w:val="0"/>
        <w:keepLines w:val="0"/>
        <w:pageBreakBefore w:val="0"/>
        <w:widowControl w:val="0"/>
        <w:kinsoku/>
        <w:wordWrap/>
        <w:overflowPunct/>
        <w:topLinePunct w:val="0"/>
        <w:bidi w:val="0"/>
        <w:snapToGrid/>
        <w:spacing w:line="600" w:lineRule="exact"/>
        <w:ind w:firstLine="646"/>
        <w:jc w:val="center"/>
        <w:textAlignment w:val="auto"/>
        <w:rPr>
          <w:rFonts w:asciiTheme="minorEastAsia" w:hAnsiTheme="minorEastAsia" w:eastAsiaTheme="minorEastAsia" w:cstheme="minorEastAsia"/>
          <w:b/>
          <w:sz w:val="44"/>
          <w:szCs w:val="44"/>
        </w:rPr>
      </w:pPr>
    </w:p>
    <w:p>
      <w:pPr>
        <w:keepNext w:val="0"/>
        <w:keepLines w:val="0"/>
        <w:pageBreakBefore w:val="0"/>
        <w:widowControl w:val="0"/>
        <w:kinsoku/>
        <w:wordWrap/>
        <w:overflowPunct/>
        <w:topLinePunct w:val="0"/>
        <w:bidi w:val="0"/>
        <w:snapToGrid/>
        <w:spacing w:line="600" w:lineRule="exact"/>
        <w:ind w:firstLine="646"/>
        <w:jc w:val="center"/>
        <w:textAlignment w:val="auto"/>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keepNext w:val="0"/>
        <w:keepLines w:val="0"/>
        <w:pageBreakBefore w:val="0"/>
        <w:widowControl w:val="0"/>
        <w:kinsoku/>
        <w:wordWrap/>
        <w:overflowPunct/>
        <w:topLinePunct w:val="0"/>
        <w:bidi w:val="0"/>
        <w:snapToGrid/>
        <w:spacing w:line="600" w:lineRule="exact"/>
        <w:ind w:firstLine="645"/>
        <w:textAlignment w:val="auto"/>
        <w:rPr>
          <w:rFonts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bidi w:val="0"/>
        <w:snapToGrid/>
        <w:spacing w:line="600" w:lineRule="exact"/>
        <w:ind w:left="638" w:leftChars="304"/>
        <w:textAlignment w:val="auto"/>
        <w:rPr>
          <w:rFonts w:hint="eastAsia" w:ascii="黑体" w:hAnsi="黑体" w:eastAsia="黑体"/>
          <w:sz w:val="32"/>
          <w:szCs w:val="32"/>
        </w:rPr>
      </w:pPr>
      <w:r>
        <w:rPr>
          <w:rFonts w:hint="eastAsia" w:ascii="黑体" w:hAnsi="黑体" w:eastAsia="黑体"/>
          <w:sz w:val="32"/>
          <w:szCs w:val="32"/>
        </w:rPr>
        <w:t>第一部分：</w:t>
      </w:r>
      <w:r>
        <w:rPr>
          <w:rFonts w:hint="eastAsia" w:ascii="黑体" w:hAnsi="黑体" w:eastAsia="黑体"/>
          <w:sz w:val="32"/>
          <w:szCs w:val="32"/>
          <w:lang w:eastAsia="zh-CN"/>
        </w:rPr>
        <w:t>广西绢麻纺织科学研究所有限公司</w:t>
      </w:r>
      <w:r>
        <w:rPr>
          <w:rFonts w:hint="eastAsia" w:ascii="黑体" w:hAnsi="黑体" w:eastAsia="黑体"/>
          <w:sz w:val="32"/>
          <w:szCs w:val="32"/>
        </w:rPr>
        <w:t>概况</w:t>
      </w:r>
    </w:p>
    <w:p>
      <w:pPr>
        <w:keepNext w:val="0"/>
        <w:keepLines w:val="0"/>
        <w:pageBreakBefore w:val="0"/>
        <w:widowControl w:val="0"/>
        <w:kinsoku/>
        <w:wordWrap/>
        <w:overflowPunct/>
        <w:topLinePunct w:val="0"/>
        <w:bidi w:val="0"/>
        <w:snapToGrid/>
        <w:spacing w:line="60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rPr>
        <w:t>一、</w:t>
      </w:r>
      <w:r>
        <w:rPr>
          <w:rFonts w:hint="eastAsia" w:ascii="仿宋_GB2312" w:eastAsia="仿宋_GB2312"/>
          <w:sz w:val="32"/>
          <w:szCs w:val="32"/>
          <w:lang w:eastAsia="zh-CN"/>
        </w:rPr>
        <w:t>本部门职责</w:t>
      </w:r>
    </w:p>
    <w:p>
      <w:pPr>
        <w:keepNext w:val="0"/>
        <w:keepLines w:val="0"/>
        <w:pageBreakBefore w:val="0"/>
        <w:widowControl w:val="0"/>
        <w:kinsoku/>
        <w:wordWrap/>
        <w:overflowPunct/>
        <w:topLinePunct w:val="0"/>
        <w:bidi w:val="0"/>
        <w:snapToGrid/>
        <w:spacing w:line="600" w:lineRule="exact"/>
        <w:ind w:firstLine="645"/>
        <w:textAlignment w:val="auto"/>
        <w:rPr>
          <w:rFonts w:hint="eastAsia" w:ascii="仿宋_GB2312" w:eastAsia="仿宋_GB2312"/>
          <w:sz w:val="32"/>
          <w:szCs w:val="32"/>
          <w:lang w:eastAsia="zh-CN"/>
        </w:rPr>
      </w:pPr>
      <w:r>
        <w:rPr>
          <w:rFonts w:hint="eastAsia" w:ascii="仿宋_GB2312" w:eastAsia="仿宋_GB2312"/>
          <w:sz w:val="32"/>
          <w:szCs w:val="32"/>
        </w:rPr>
        <w:t>二、</w:t>
      </w:r>
      <w:r>
        <w:rPr>
          <w:rFonts w:hint="eastAsia" w:ascii="仿宋_GB2312" w:eastAsia="仿宋_GB2312"/>
          <w:sz w:val="32"/>
          <w:szCs w:val="32"/>
          <w:lang w:eastAsia="zh-CN"/>
        </w:rPr>
        <w:t>机构设置情况</w:t>
      </w:r>
    </w:p>
    <w:p>
      <w:pPr>
        <w:keepNext w:val="0"/>
        <w:keepLines w:val="0"/>
        <w:pageBreakBefore w:val="0"/>
        <w:widowControl w:val="0"/>
        <w:kinsoku/>
        <w:wordWrap/>
        <w:overflowPunct/>
        <w:topLinePunct w:val="0"/>
        <w:bidi w:val="0"/>
        <w:snapToGrid/>
        <w:spacing w:line="600" w:lineRule="exact"/>
        <w:ind w:left="638" w:leftChars="304"/>
        <w:textAlignment w:val="auto"/>
        <w:rPr>
          <w:rFonts w:hint="eastAsia" w:ascii="黑体" w:hAnsi="黑体" w:eastAsia="黑体"/>
          <w:sz w:val="32"/>
          <w:szCs w:val="32"/>
        </w:rPr>
      </w:pPr>
      <w:r>
        <w:rPr>
          <w:rFonts w:hint="eastAsia" w:ascii="黑体" w:hAnsi="黑体" w:eastAsia="黑体"/>
          <w:sz w:val="32"/>
          <w:szCs w:val="32"/>
        </w:rPr>
        <w:t>第二部分：</w:t>
      </w:r>
      <w:r>
        <w:rPr>
          <w:rFonts w:hint="eastAsia" w:ascii="黑体" w:hAnsi="黑体" w:eastAsia="黑体"/>
          <w:sz w:val="32"/>
          <w:szCs w:val="32"/>
          <w:lang w:eastAsia="zh-CN"/>
        </w:rPr>
        <w:t>广西绢麻纺织科学研究所有限公司</w:t>
      </w:r>
      <w:r>
        <w:rPr>
          <w:rFonts w:hint="eastAsia" w:ascii="黑体" w:hAnsi="黑体" w:eastAsia="黑体"/>
          <w:sz w:val="32"/>
          <w:szCs w:val="32"/>
        </w:rPr>
        <w:t>202</w:t>
      </w:r>
      <w:r>
        <w:rPr>
          <w:rFonts w:hint="eastAsia" w:ascii="黑体" w:hAnsi="黑体" w:eastAsia="黑体"/>
          <w:sz w:val="32"/>
          <w:szCs w:val="32"/>
          <w:lang w:val="en-US" w:eastAsia="zh-CN"/>
        </w:rPr>
        <w:t>2</w:t>
      </w:r>
      <w:r>
        <w:rPr>
          <w:rFonts w:hint="eastAsia" w:ascii="黑体" w:hAnsi="黑体" w:eastAsia="黑体"/>
          <w:sz w:val="32"/>
          <w:szCs w:val="32"/>
        </w:rPr>
        <w:t>年度部门决算报表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表一</w:t>
      </w:r>
      <w:bookmarkStart w:id="1" w:name="_GoBack"/>
      <w:bookmarkEnd w:id="1"/>
      <w:r>
        <w:rPr>
          <w:rFonts w:hint="eastAsia" w:ascii="仿宋_GB2312" w:eastAsia="仿宋_GB2312"/>
          <w:sz w:val="32"/>
          <w:szCs w:val="32"/>
        </w:rPr>
        <w:t>：收入支出决算总表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表二：收入决算表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表三：支出决算表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表四：财政拨款收入支出决算总表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表五：一般公共预算财政拨款支出决算表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表六：一般公共预算财政拨款基本支出决算</w:t>
      </w:r>
      <w:r>
        <w:rPr>
          <w:rFonts w:hint="eastAsia" w:ascii="仿宋_GB2312" w:eastAsia="仿宋_GB2312"/>
          <w:sz w:val="32"/>
          <w:szCs w:val="32"/>
          <w:lang w:eastAsia="zh-CN"/>
        </w:rPr>
        <w:t>明细</w:t>
      </w:r>
      <w:r>
        <w:rPr>
          <w:rFonts w:hint="eastAsia" w:ascii="仿宋_GB2312" w:eastAsia="仿宋_GB2312"/>
          <w:sz w:val="32"/>
          <w:szCs w:val="32"/>
        </w:rPr>
        <w:t>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eastAsia="zh-CN"/>
        </w:rPr>
        <w:t>七</w:t>
      </w:r>
      <w:r>
        <w:rPr>
          <w:rFonts w:hint="eastAsia" w:ascii="仿宋_GB2312" w:eastAsia="仿宋_GB2312"/>
          <w:sz w:val="32"/>
          <w:szCs w:val="32"/>
        </w:rPr>
        <w:t>：政府性基金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eastAsia="zh-CN"/>
        </w:rPr>
        <w:t>八</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lang w:eastAsia="zh-CN"/>
        </w:rPr>
      </w:pPr>
      <w:r>
        <w:rPr>
          <w:rFonts w:hint="eastAsia" w:ascii="仿宋_GB2312" w:eastAsia="仿宋_GB2312"/>
          <w:sz w:val="32"/>
          <w:szCs w:val="32"/>
        </w:rPr>
        <w:t>表</w:t>
      </w:r>
      <w:r>
        <w:rPr>
          <w:rFonts w:hint="eastAsia" w:ascii="仿宋_GB2312" w:eastAsia="仿宋_GB2312"/>
          <w:sz w:val="32"/>
          <w:szCs w:val="32"/>
          <w:lang w:eastAsia="zh-CN"/>
        </w:rPr>
        <w:t>九</w:t>
      </w:r>
      <w:r>
        <w:rPr>
          <w:rFonts w:hint="eastAsia" w:ascii="仿宋_GB2312" w:eastAsia="仿宋_GB2312"/>
          <w:sz w:val="32"/>
          <w:szCs w:val="32"/>
        </w:rPr>
        <w:t>：</w:t>
      </w:r>
      <w:r>
        <w:rPr>
          <w:rFonts w:hint="eastAsia" w:ascii="仿宋_GB2312" w:eastAsia="仿宋_GB2312"/>
          <w:sz w:val="32"/>
          <w:szCs w:val="32"/>
          <w:lang w:eastAsia="zh-CN"/>
        </w:rPr>
        <w:t>财政拨款安排的“三公”经费支出决算表</w:t>
      </w:r>
    </w:p>
    <w:p>
      <w:pPr>
        <w:keepNext w:val="0"/>
        <w:keepLines w:val="0"/>
        <w:pageBreakBefore w:val="0"/>
        <w:widowControl w:val="0"/>
        <w:kinsoku/>
        <w:wordWrap/>
        <w:overflowPunct/>
        <w:topLinePunct w:val="0"/>
        <w:bidi w:val="0"/>
        <w:snapToGrid/>
        <w:spacing w:line="600" w:lineRule="exact"/>
        <w:ind w:left="638" w:leftChars="304"/>
        <w:textAlignment w:val="auto"/>
        <w:rPr>
          <w:rFonts w:hint="eastAsia" w:ascii="黑体" w:hAnsi="黑体" w:eastAsia="黑体"/>
          <w:sz w:val="32"/>
          <w:szCs w:val="32"/>
        </w:rPr>
      </w:pPr>
      <w:r>
        <w:rPr>
          <w:rFonts w:hint="eastAsia" w:ascii="黑体" w:hAnsi="黑体" w:eastAsia="黑体"/>
          <w:sz w:val="32"/>
          <w:szCs w:val="32"/>
        </w:rPr>
        <w:t>第三部分：</w:t>
      </w:r>
      <w:r>
        <w:rPr>
          <w:rFonts w:hint="eastAsia" w:ascii="黑体" w:hAnsi="黑体" w:eastAsia="黑体"/>
          <w:sz w:val="32"/>
          <w:szCs w:val="32"/>
          <w:lang w:eastAsia="zh-CN"/>
        </w:rPr>
        <w:t>广西绢麻纺织科学研究所有限公司</w:t>
      </w:r>
      <w:r>
        <w:rPr>
          <w:rFonts w:hint="eastAsia" w:ascii="黑体" w:hAnsi="黑体" w:eastAsia="黑体"/>
          <w:sz w:val="32"/>
          <w:szCs w:val="32"/>
        </w:rPr>
        <w:t>20</w:t>
      </w:r>
      <w:r>
        <w:rPr>
          <w:rFonts w:hint="eastAsia" w:ascii="黑体" w:hAnsi="黑体" w:eastAsia="黑体"/>
          <w:sz w:val="32"/>
          <w:szCs w:val="32"/>
          <w:lang w:val="en-US" w:eastAsia="zh-CN"/>
        </w:rPr>
        <w:t>22</w:t>
      </w:r>
      <w:r>
        <w:rPr>
          <w:rFonts w:hint="eastAsia" w:ascii="黑体" w:hAnsi="黑体" w:eastAsia="黑体"/>
          <w:sz w:val="32"/>
          <w:szCs w:val="32"/>
        </w:rPr>
        <w:t>年度部门决算情况说明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一、</w:t>
      </w:r>
      <w:r>
        <w:rPr>
          <w:rFonts w:hint="eastAsia" w:ascii="仿宋_GB2312" w:eastAsia="仿宋_GB2312"/>
          <w:kern w:val="0"/>
          <w:sz w:val="32"/>
          <w:szCs w:val="32"/>
        </w:rPr>
        <w:t>202</w:t>
      </w:r>
      <w:r>
        <w:rPr>
          <w:rFonts w:hint="eastAsia" w:ascii="仿宋_GB2312" w:eastAsia="仿宋_GB2312"/>
          <w:kern w:val="0"/>
          <w:sz w:val="32"/>
          <w:szCs w:val="32"/>
          <w:lang w:val="en-US" w:eastAsia="zh-CN"/>
        </w:rPr>
        <w:t>2</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二、</w:t>
      </w:r>
      <w:r>
        <w:rPr>
          <w:rFonts w:hint="eastAsia" w:ascii="仿宋_GB2312" w:eastAsia="仿宋_GB2312"/>
          <w:kern w:val="0"/>
          <w:sz w:val="32"/>
          <w:szCs w:val="32"/>
        </w:rPr>
        <w:t>202</w:t>
      </w:r>
      <w:r>
        <w:rPr>
          <w:rFonts w:hint="eastAsia" w:ascii="仿宋_GB2312" w:eastAsia="仿宋_GB2312"/>
          <w:kern w:val="0"/>
          <w:sz w:val="32"/>
          <w:szCs w:val="32"/>
          <w:lang w:val="en-US" w:eastAsia="zh-CN"/>
        </w:rPr>
        <w:t>2</w:t>
      </w:r>
      <w:r>
        <w:rPr>
          <w:rFonts w:hint="eastAsia" w:ascii="仿宋_GB2312" w:eastAsia="仿宋_GB2312"/>
          <w:kern w:val="0"/>
          <w:sz w:val="32"/>
          <w:szCs w:val="32"/>
        </w:rPr>
        <w:t xml:space="preserve"> </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三、</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四、</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五、</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年度国有资本经营预算支出决算情况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六、财政拨款安排的“三公”经费支出决算情况说明。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七、其他重要事项情况说明。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八</w:t>
      </w: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预算绩效管理工作开展情况</w:t>
      </w:r>
      <w:r>
        <w:rPr>
          <w:rFonts w:hint="eastAsia" w:ascii="仿宋_GB2312" w:eastAsia="仿宋_GB2312" w:cs="仿宋_GB2312"/>
          <w:kern w:val="0"/>
          <w:sz w:val="32"/>
          <w:szCs w:val="32"/>
        </w:rPr>
        <w:t>。</w:t>
      </w:r>
    </w:p>
    <w:p>
      <w:pPr>
        <w:keepNext w:val="0"/>
        <w:keepLines w:val="0"/>
        <w:pageBreakBefore w:val="0"/>
        <w:widowControl w:val="0"/>
        <w:kinsoku/>
        <w:wordWrap/>
        <w:overflowPunct/>
        <w:topLinePunct w:val="0"/>
        <w:bidi w:val="0"/>
        <w:snapToGrid/>
        <w:spacing w:line="600" w:lineRule="exact"/>
        <w:ind w:firstLine="640" w:firstLineChars="200"/>
        <w:jc w:val="both"/>
        <w:textAlignment w:val="auto"/>
        <w:rPr>
          <w:rFonts w:ascii="仿宋_GB2312" w:eastAsia="仿宋_GB2312"/>
        </w:rPr>
      </w:pPr>
      <w:r>
        <w:rPr>
          <w:rFonts w:hint="eastAsia" w:ascii="黑体" w:hAnsi="黑体" w:eastAsia="黑体" w:cs="仿宋_GB2312"/>
          <w:kern w:val="0"/>
          <w:sz w:val="32"/>
          <w:szCs w:val="32"/>
        </w:rPr>
        <w:t>第四部分：名词解释</w:t>
      </w: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textAlignment w:val="auto"/>
        <w:rPr>
          <w:rFonts w:ascii="仿宋_GB2312" w:eastAsia="仿宋_GB2312"/>
          <w:b/>
          <w:sz w:val="32"/>
          <w:szCs w:val="32"/>
        </w:rPr>
      </w:pPr>
    </w:p>
    <w:p>
      <w:pPr>
        <w:keepNext w:val="0"/>
        <w:keepLines w:val="0"/>
        <w:pageBreakBefore w:val="0"/>
        <w:widowControl w:val="0"/>
        <w:kinsoku/>
        <w:wordWrap/>
        <w:overflowPunct/>
        <w:topLinePunct w:val="0"/>
        <w:bidi w:val="0"/>
        <w:snapToGrid/>
        <w:spacing w:line="600" w:lineRule="exact"/>
        <w:ind w:firstLine="646"/>
        <w:jc w:val="center"/>
        <w:textAlignment w:val="auto"/>
        <w:rPr>
          <w:rFonts w:hint="eastAsia" w:ascii="黑体" w:hAnsi="黑体" w:eastAsia="黑体"/>
          <w:sz w:val="32"/>
          <w:szCs w:val="32"/>
        </w:rPr>
      </w:pPr>
    </w:p>
    <w:p>
      <w:pPr>
        <w:pStyle w:val="2"/>
        <w:rPr>
          <w:rFonts w:hint="eastAsia"/>
        </w:rPr>
      </w:pPr>
    </w:p>
    <w:p>
      <w:pPr>
        <w:keepNext w:val="0"/>
        <w:keepLines w:val="0"/>
        <w:pageBreakBefore w:val="0"/>
        <w:widowControl w:val="0"/>
        <w:kinsoku/>
        <w:wordWrap/>
        <w:overflowPunct/>
        <w:topLinePunct w:val="0"/>
        <w:bidi w:val="0"/>
        <w:snapToGrid/>
        <w:spacing w:line="600" w:lineRule="exact"/>
        <w:ind w:firstLine="646"/>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bidi w:val="0"/>
        <w:snapToGrid/>
        <w:spacing w:line="600" w:lineRule="exact"/>
        <w:ind w:firstLine="646"/>
        <w:jc w:val="center"/>
        <w:textAlignment w:val="auto"/>
        <w:rPr>
          <w:rFonts w:ascii="黑体" w:hAnsi="黑体" w:eastAsia="黑体"/>
          <w:sz w:val="32"/>
          <w:szCs w:val="32"/>
        </w:rPr>
      </w:pPr>
      <w:r>
        <w:rPr>
          <w:rFonts w:hint="eastAsia" w:ascii="黑体" w:hAnsi="黑体" w:eastAsia="黑体"/>
          <w:sz w:val="32"/>
          <w:szCs w:val="32"/>
        </w:rPr>
        <w:t>第一部分：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rPr>
        <w:t>概况</w:t>
      </w:r>
    </w:p>
    <w:p>
      <w:pPr>
        <w:keepNext w:val="0"/>
        <w:keepLines w:val="0"/>
        <w:pageBreakBefore w:val="0"/>
        <w:widowControl w:val="0"/>
        <w:numPr>
          <w:ilvl w:val="0"/>
          <w:numId w:val="1"/>
        </w:numPr>
        <w:kinsoku/>
        <w:wordWrap/>
        <w:overflowPunct/>
        <w:topLinePunct w:val="0"/>
        <w:bidi w:val="0"/>
        <w:snapToGrid/>
        <w:spacing w:line="600" w:lineRule="exact"/>
        <w:ind w:firstLine="646"/>
        <w:textAlignment w:val="auto"/>
        <w:rPr>
          <w:rFonts w:ascii="黑体" w:hAnsi="黑体" w:eastAsia="黑体"/>
          <w:sz w:val="32"/>
          <w:szCs w:val="32"/>
        </w:rPr>
      </w:pPr>
      <w:r>
        <w:rPr>
          <w:rFonts w:hint="eastAsia" w:ascii="黑体" w:hAnsi="黑体" w:eastAsia="黑体"/>
          <w:sz w:val="32"/>
          <w:szCs w:val="32"/>
        </w:rPr>
        <w:t>本部门职责</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黑体" w:hAnsi="黑体" w:eastAsia="黑体"/>
          <w:sz w:val="32"/>
          <w:szCs w:val="32"/>
        </w:rPr>
      </w:pPr>
      <w:r>
        <w:rPr>
          <w:rFonts w:hint="eastAsia" w:ascii="仿宋_GB2312" w:eastAsia="仿宋_GB2312" w:cs="仿宋_GB2312"/>
          <w:kern w:val="0"/>
          <w:sz w:val="32"/>
          <w:szCs w:val="32"/>
        </w:rPr>
        <w:t>广西绢麻纺织科学研究所有限公司（以下简称“本公司”）系经广西壮族自治区工商行政管理局注册，于2001年1月19日成立，取得（企）450000000004815（1-1）号企业法人营业执照，统一社会信用代码：914500004985013626。 2018年7月宏桂发</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93号文件将广西绢麻纺织科学研究所成建制划转广西壮族自治区化工研究院管理及组建广西化工研究院有限公司，公司制改制完成后属于广西化工研究院有限公司的独立核算的子公司，并成为宏桂集团下属的三级企业。2018年6月宏桂复</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46号批复广西绢麻纺织科学研究所公司制改制立项</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分别完成公司制改制的清产核资、财务审计、资产评估批复后，按宏桂复</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2018</w:t>
      </w:r>
      <w:r>
        <w:rPr>
          <w:rFonts w:hint="eastAsia" w:ascii="仿宋_GB2312" w:hAnsi="仿宋_GB2312" w:eastAsia="仿宋_GB2312" w:cs="仿宋_GB2312"/>
          <w:kern w:val="0"/>
          <w:sz w:val="32"/>
          <w:szCs w:val="32"/>
        </w:rPr>
        <w:t>〕</w:t>
      </w:r>
      <w:r>
        <w:rPr>
          <w:rFonts w:hint="eastAsia" w:ascii="仿宋_GB2312" w:eastAsia="仿宋_GB2312" w:cs="仿宋_GB2312"/>
          <w:kern w:val="0"/>
          <w:sz w:val="32"/>
          <w:szCs w:val="32"/>
        </w:rPr>
        <w:t>201号文件的要求于2018年12月26日翻牌变更了工商注册登记</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 xml:space="preserve"> 翻牌变更后的单位名称为</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广西绢麻纺织科学研究所有限公司</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注册类型为有限责任公司</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非自然人或控股的法人独资</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注册资本金为人民币1959.86万元。住所：南宁市江南区亭洪路43号。法定代表人：陆敏兴。经济性质：有限责任公司（非自然人投资或控股的法人独资）。经营范围：纺织产品技术研究、开发、推广；科技咨询、技术服务及</w:t>
      </w:r>
      <w:r>
        <w:rPr>
          <w:rFonts w:hint="eastAsia" w:ascii="仿宋_GB2312" w:eastAsia="仿宋_GB2312" w:cs="仿宋_GB2312"/>
          <w:kern w:val="0"/>
          <w:sz w:val="32"/>
          <w:szCs w:val="32"/>
          <w:lang w:eastAsia="zh-CN"/>
        </w:rPr>
        <w:t>技术</w:t>
      </w:r>
      <w:r>
        <w:rPr>
          <w:rFonts w:hint="eastAsia" w:ascii="仿宋_GB2312" w:eastAsia="仿宋_GB2312" w:cs="仿宋_GB2312"/>
          <w:kern w:val="0"/>
          <w:sz w:val="32"/>
          <w:szCs w:val="32"/>
        </w:rPr>
        <w:t>培训；家纺产品、丝绸产品、服装产品生产及销售；国内贸易；食品销售；期刊出版；设计、制作、代理、发布国内各类广告；会议、展览及相关服务；房地产租赁经营；停车场服务。（依法须经批准的项目，经相关部门批准后方可开展经营活动。）本公司营业期限为：长期。</w:t>
      </w:r>
    </w:p>
    <w:p>
      <w:pPr>
        <w:keepNext w:val="0"/>
        <w:keepLines w:val="0"/>
        <w:pageBreakBefore w:val="0"/>
        <w:widowControl w:val="0"/>
        <w:numPr>
          <w:ilvl w:val="0"/>
          <w:numId w:val="1"/>
        </w:numPr>
        <w:kinsoku/>
        <w:wordWrap/>
        <w:overflowPunct/>
        <w:topLinePunct w:val="0"/>
        <w:bidi w:val="0"/>
        <w:snapToGrid/>
        <w:spacing w:line="600" w:lineRule="exact"/>
        <w:ind w:firstLine="646"/>
        <w:textAlignment w:val="auto"/>
        <w:rPr>
          <w:rFonts w:ascii="黑体" w:hAnsi="黑体" w:eastAsia="黑体"/>
          <w:sz w:val="32"/>
          <w:szCs w:val="32"/>
        </w:rPr>
      </w:pPr>
      <w:r>
        <w:rPr>
          <w:rFonts w:hint="eastAsia" w:ascii="黑体" w:hAnsi="黑体" w:eastAsia="黑体"/>
          <w:sz w:val="32"/>
          <w:szCs w:val="32"/>
        </w:rPr>
        <w:t>机构设置情况</w:t>
      </w:r>
    </w:p>
    <w:p>
      <w:pPr>
        <w:keepNext w:val="0"/>
        <w:keepLines w:val="0"/>
        <w:pageBreakBefore w:val="0"/>
        <w:widowControl w:val="0"/>
        <w:kinsoku/>
        <w:wordWrap/>
        <w:overflowPunct/>
        <w:topLinePunct w:val="0"/>
        <w:bidi w:val="0"/>
        <w:snapToGrid/>
        <w:spacing w:line="600" w:lineRule="exact"/>
        <w:ind w:firstLine="646"/>
        <w:jc w:val="left"/>
        <w:textAlignment w:val="auto"/>
        <w:rPr>
          <w:rFonts w:ascii="黑体" w:hAnsi="黑体" w:eastAsia="黑体"/>
          <w:sz w:val="32"/>
          <w:szCs w:val="32"/>
        </w:rPr>
      </w:pPr>
      <w:r>
        <w:rPr>
          <w:rFonts w:hint="eastAsia" w:ascii="仿宋_GB2312" w:eastAsia="仿宋_GB2312" w:cs="仿宋_GB2312"/>
          <w:kern w:val="0"/>
          <w:sz w:val="32"/>
          <w:szCs w:val="32"/>
        </w:rPr>
        <w:t>广西绢麻纺织科学研究所有限公司由以下职能管理部门构成：执行董事（总经理）、监事、党支部、副总经理、工会、生产部、物业管理部、销售部、财务部、技术开发部、编辑部、建房办。</w:t>
      </w:r>
    </w:p>
    <w:p>
      <w:pPr>
        <w:keepNext w:val="0"/>
        <w:keepLines w:val="0"/>
        <w:pageBreakBefore w:val="0"/>
        <w:widowControl w:val="0"/>
        <w:kinsoku/>
        <w:wordWrap/>
        <w:overflowPunct/>
        <w:topLinePunct w:val="0"/>
        <w:bidi w:val="0"/>
        <w:snapToGrid/>
        <w:spacing w:line="600" w:lineRule="exact"/>
        <w:ind w:firstLine="640" w:firstLineChars="200"/>
        <w:jc w:val="left"/>
        <w:textAlignment w:val="auto"/>
        <w:rPr>
          <w:rFonts w:ascii="黑体" w:hAnsi="黑体" w:eastAsia="黑体"/>
          <w:sz w:val="32"/>
          <w:szCs w:val="32"/>
        </w:rPr>
      </w:pPr>
      <w:r>
        <w:rPr>
          <w:rFonts w:hint="eastAsia" w:ascii="黑体" w:hAnsi="黑体" w:eastAsia="黑体"/>
          <w:sz w:val="32"/>
          <w:szCs w:val="32"/>
        </w:rPr>
        <w:t>第二部分：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lang w:eastAsia="zh-CN"/>
        </w:rPr>
        <w:t>2022</w:t>
      </w:r>
      <w:r>
        <w:rPr>
          <w:rFonts w:hint="eastAsia" w:ascii="黑体" w:hAnsi="黑体" w:eastAsia="黑体"/>
          <w:sz w:val="32"/>
          <w:szCs w:val="32"/>
        </w:rPr>
        <w:t>年度部门决算报表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表一：收入支出决算总表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表二：收入决算表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表三：支出决算表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表四：财政拨款收入支出决算总表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表五：一般公共预算财政拨款支出决算表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表六：一般公共预算财政拨款基本支出决算</w:t>
      </w:r>
      <w:r>
        <w:rPr>
          <w:rFonts w:hint="eastAsia" w:ascii="仿宋_GB2312" w:eastAsia="仿宋_GB2312"/>
          <w:sz w:val="32"/>
          <w:szCs w:val="32"/>
          <w:lang w:eastAsia="zh-CN"/>
        </w:rPr>
        <w:t>明细</w:t>
      </w:r>
      <w:r>
        <w:rPr>
          <w:rFonts w:hint="eastAsia" w:ascii="仿宋_GB2312" w:eastAsia="仿宋_GB2312"/>
          <w:sz w:val="32"/>
          <w:szCs w:val="32"/>
        </w:rPr>
        <w:t>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eastAsia="zh-CN"/>
        </w:rPr>
        <w:t>七</w:t>
      </w:r>
      <w:r>
        <w:rPr>
          <w:rFonts w:hint="eastAsia" w:ascii="仿宋_GB2312" w:eastAsia="仿宋_GB2312"/>
          <w:sz w:val="32"/>
          <w:szCs w:val="32"/>
        </w:rPr>
        <w:t>：政府性基金</w:t>
      </w:r>
      <w:r>
        <w:rPr>
          <w:rFonts w:hint="eastAsia" w:ascii="仿宋_GB2312" w:hAnsi="黑体" w:eastAsia="仿宋_GB2312"/>
          <w:sz w:val="32"/>
          <w:szCs w:val="32"/>
        </w:rPr>
        <w:t>预算财政拨款</w:t>
      </w: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600" w:lineRule="exact"/>
        <w:ind w:left="645"/>
        <w:textAlignment w:val="auto"/>
        <w:rPr>
          <w:rFonts w:hint="eastAsia"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eastAsia="zh-CN"/>
        </w:rPr>
        <w:t>八</w:t>
      </w:r>
      <w:r>
        <w:rPr>
          <w:rFonts w:hint="eastAsia" w:ascii="仿宋_GB2312" w:eastAsia="仿宋_GB2312"/>
          <w:sz w:val="32"/>
          <w:szCs w:val="32"/>
        </w:rPr>
        <w:t>：国有资本经营预算</w:t>
      </w:r>
      <w:r>
        <w:rPr>
          <w:rFonts w:hint="eastAsia" w:ascii="仿宋_GB2312" w:hAnsi="黑体" w:eastAsia="仿宋_GB2312"/>
          <w:sz w:val="32"/>
          <w:szCs w:val="32"/>
        </w:rPr>
        <w:t>财政拨款</w:t>
      </w:r>
      <w:r>
        <w:rPr>
          <w:rFonts w:hint="eastAsia" w:ascii="仿宋_GB2312" w:eastAsia="仿宋_GB2312"/>
          <w:sz w:val="32"/>
          <w:szCs w:val="32"/>
        </w:rPr>
        <w:t>收入支出决算表</w:t>
      </w:r>
    </w:p>
    <w:p>
      <w:pPr>
        <w:keepNext w:val="0"/>
        <w:keepLines w:val="0"/>
        <w:pageBreakBefore w:val="0"/>
        <w:widowControl w:val="0"/>
        <w:kinsoku/>
        <w:wordWrap/>
        <w:overflowPunct/>
        <w:topLinePunct w:val="0"/>
        <w:bidi w:val="0"/>
        <w:snapToGrid/>
        <w:spacing w:line="600" w:lineRule="exact"/>
        <w:ind w:left="645"/>
        <w:textAlignment w:val="auto"/>
        <w:rPr>
          <w:rFonts w:ascii="仿宋_GB2312" w:eastAsia="仿宋_GB2312"/>
          <w:sz w:val="32"/>
          <w:szCs w:val="32"/>
        </w:rPr>
      </w:pPr>
      <w:r>
        <w:rPr>
          <w:rFonts w:hint="eastAsia" w:ascii="仿宋_GB2312" w:eastAsia="仿宋_GB2312"/>
          <w:sz w:val="32"/>
          <w:szCs w:val="32"/>
        </w:rPr>
        <w:t>表</w:t>
      </w:r>
      <w:r>
        <w:rPr>
          <w:rFonts w:hint="eastAsia" w:ascii="仿宋_GB2312" w:eastAsia="仿宋_GB2312"/>
          <w:sz w:val="32"/>
          <w:szCs w:val="32"/>
          <w:lang w:eastAsia="zh-CN"/>
        </w:rPr>
        <w:t>九</w:t>
      </w:r>
      <w:r>
        <w:rPr>
          <w:rFonts w:hint="eastAsia" w:ascii="仿宋_GB2312" w:eastAsia="仿宋_GB2312"/>
          <w:sz w:val="32"/>
          <w:szCs w:val="32"/>
        </w:rPr>
        <w:t>：</w:t>
      </w:r>
      <w:r>
        <w:rPr>
          <w:rFonts w:hint="eastAsia" w:ascii="仿宋_GB2312" w:eastAsia="仿宋_GB2312"/>
          <w:sz w:val="32"/>
          <w:szCs w:val="32"/>
          <w:lang w:eastAsia="zh-CN"/>
        </w:rPr>
        <w:t>财政拨款安排的“三公”经费支出决算表</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黑体" w:hAnsi="黑体" w:eastAsia="黑体"/>
          <w:sz w:val="32"/>
          <w:szCs w:val="32"/>
        </w:rPr>
      </w:pPr>
      <w:r>
        <w:rPr>
          <w:rFonts w:hint="eastAsia" w:ascii="仿宋_GB2312" w:eastAsia="仿宋_GB2312"/>
          <w:sz w:val="32"/>
          <w:szCs w:val="32"/>
        </w:rPr>
        <w:t>（上述公开内容详见附件</w:t>
      </w:r>
      <w:r>
        <w:rPr>
          <w:rFonts w:hint="eastAsia" w:ascii="仿宋_GB2312" w:eastAsia="仿宋_GB2312"/>
          <w:sz w:val="32"/>
          <w:szCs w:val="32"/>
          <w:lang w:eastAsia="zh-CN"/>
        </w:rPr>
        <w:t>：</w:t>
      </w:r>
      <w:r>
        <w:rPr>
          <w:rFonts w:hint="eastAsia" w:ascii="仿宋_GB2312" w:eastAsia="仿宋_GB2312"/>
          <w:sz w:val="32"/>
          <w:szCs w:val="32"/>
        </w:rPr>
        <w:t>广西绢麻纺织科学研究所有限公司</w:t>
      </w:r>
      <w:r>
        <w:rPr>
          <w:rFonts w:hint="eastAsia" w:ascii="仿宋_GB2312" w:eastAsia="仿宋_GB2312"/>
          <w:sz w:val="32"/>
          <w:szCs w:val="32"/>
          <w:lang w:eastAsia="zh-CN"/>
        </w:rPr>
        <w:t>2022</w:t>
      </w:r>
      <w:r>
        <w:rPr>
          <w:rFonts w:hint="eastAsia" w:ascii="仿宋_GB2312" w:eastAsia="仿宋_GB2312"/>
          <w:sz w:val="32"/>
          <w:szCs w:val="32"/>
        </w:rPr>
        <w:t>年度部门决算公开表）</w:t>
      </w:r>
    </w:p>
    <w:p>
      <w:pPr>
        <w:keepNext w:val="0"/>
        <w:keepLines w:val="0"/>
        <w:pageBreakBefore w:val="0"/>
        <w:widowControl w:val="0"/>
        <w:kinsoku/>
        <w:wordWrap/>
        <w:overflowPunct/>
        <w:topLinePunct w:val="0"/>
        <w:bidi w:val="0"/>
        <w:snapToGrid/>
        <w:spacing w:line="600" w:lineRule="exact"/>
        <w:ind w:firstLine="640" w:firstLineChars="200"/>
        <w:jc w:val="center"/>
        <w:textAlignment w:val="auto"/>
        <w:rPr>
          <w:rFonts w:ascii="黑体" w:hAnsi="黑体" w:eastAsia="黑体"/>
          <w:sz w:val="32"/>
          <w:szCs w:val="32"/>
        </w:rPr>
      </w:pPr>
      <w:r>
        <w:rPr>
          <w:rFonts w:hint="eastAsia" w:ascii="黑体" w:hAnsi="黑体" w:eastAsia="黑体"/>
          <w:sz w:val="32"/>
          <w:szCs w:val="32"/>
        </w:rPr>
        <w:t>第三部分：</w:t>
      </w:r>
      <w:r>
        <w:rPr>
          <w:rFonts w:hint="eastAsia" w:ascii="黑体" w:hAnsi="黑体" w:eastAsia="黑体"/>
          <w:bCs/>
          <w:color w:val="000000"/>
          <w:sz w:val="32"/>
          <w:szCs w:val="32"/>
        </w:rPr>
        <w:t>广西绢麻纺织科学研究所有限公司</w:t>
      </w:r>
      <w:r>
        <w:rPr>
          <w:rFonts w:hint="eastAsia" w:ascii="黑体" w:hAnsi="黑体" w:eastAsia="黑体"/>
          <w:sz w:val="32"/>
          <w:szCs w:val="32"/>
          <w:lang w:eastAsia="zh-CN"/>
        </w:rPr>
        <w:t>2022</w:t>
      </w:r>
      <w:r>
        <w:rPr>
          <w:rFonts w:hint="eastAsia" w:ascii="黑体" w:hAnsi="黑体" w:eastAsia="黑体"/>
          <w:sz w:val="32"/>
          <w:szCs w:val="32"/>
        </w:rPr>
        <w:t>年度部门决算情况说明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黑体" w:hAnsi="黑体" w:eastAsia="黑体" w:cs="仿宋_GB2312"/>
          <w:kern w:val="0"/>
          <w:sz w:val="32"/>
          <w:szCs w:val="32"/>
        </w:rPr>
      </w:pPr>
      <w:r>
        <w:rPr>
          <w:rFonts w:hint="eastAsia" w:ascii="黑体" w:hAnsi="黑体" w:eastAsia="黑体" w:cs="仿宋_GB2312"/>
          <w:kern w:val="0"/>
          <w:sz w:val="32"/>
          <w:szCs w:val="32"/>
        </w:rPr>
        <w:t>一、</w:t>
      </w:r>
      <w:r>
        <w:rPr>
          <w:rFonts w:hint="eastAsia" w:ascii="黑体" w:hAnsi="黑体" w:eastAsia="黑体"/>
          <w:kern w:val="0"/>
          <w:sz w:val="32"/>
          <w:szCs w:val="32"/>
          <w:lang w:eastAsia="zh-CN"/>
        </w:rPr>
        <w:t>2022</w:t>
      </w:r>
      <w:r>
        <w:rPr>
          <w:rFonts w:hint="eastAsia" w:ascii="黑体" w:hAnsi="黑体" w:eastAsia="黑体" w:cs="仿宋_GB2312"/>
          <w:kern w:val="0"/>
          <w:sz w:val="32"/>
          <w:szCs w:val="32"/>
        </w:rPr>
        <w:t>年度收入支出决算总体情况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（一）本部门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年度总收入</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万元，其中本年收入</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 xml:space="preserve">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12.74</w:t>
      </w:r>
      <w:r>
        <w:rPr>
          <w:rFonts w:hint="eastAsia" w:ascii="仿宋_GB2312" w:hAnsi="黑体" w:eastAsia="仿宋_GB2312" w:cs="仿宋_GB2312"/>
          <w:kern w:val="0"/>
          <w:sz w:val="32"/>
          <w:szCs w:val="32"/>
        </w:rPr>
        <w:t>万元，增加</w:t>
      </w:r>
      <w:r>
        <w:rPr>
          <w:rFonts w:hint="eastAsia" w:ascii="仿宋_GB2312" w:hAnsi="黑体" w:eastAsia="仿宋_GB2312" w:cs="仿宋_GB2312"/>
          <w:kern w:val="0"/>
          <w:sz w:val="32"/>
          <w:szCs w:val="32"/>
          <w:lang w:val="en-US" w:eastAsia="zh-CN"/>
        </w:rPr>
        <w:t>8.04</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收入具体情况如下：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hAnsi="黑体" w:eastAsia="仿宋_GB2312" w:cs="仿宋_GB2312"/>
          <w:kern w:val="0"/>
          <w:sz w:val="32"/>
          <w:szCs w:val="32"/>
        </w:rPr>
      </w:pPr>
      <w:r>
        <w:rPr>
          <w:rFonts w:hint="eastAsia" w:ascii="仿宋_GB2312" w:eastAsia="仿宋_GB2312" w:cs="仿宋_GB2312"/>
          <w:kern w:val="0"/>
          <w:sz w:val="32"/>
          <w:szCs w:val="32"/>
        </w:rPr>
        <w:t>1</w:t>
      </w:r>
      <w:r>
        <w:rPr>
          <w:rFonts w:ascii="仿宋_GB2312" w:eastAsia="仿宋_GB2312" w:cs="仿宋_GB2312"/>
          <w:kern w:val="0"/>
          <w:sz w:val="32"/>
          <w:szCs w:val="32"/>
        </w:rPr>
        <w:t>.</w:t>
      </w:r>
      <w:r>
        <w:rPr>
          <w:rFonts w:hint="eastAsia" w:ascii="仿宋_GB2312" w:eastAsia="仿宋_GB2312" w:cs="仿宋_GB2312"/>
          <w:kern w:val="0"/>
          <w:sz w:val="32"/>
          <w:szCs w:val="32"/>
        </w:rPr>
        <w:t>一般公共预算财政拨款收入</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万元，为自治区本级财政当年拨付的资金。</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12.74</w:t>
      </w:r>
      <w:r>
        <w:rPr>
          <w:rFonts w:hint="eastAsia" w:ascii="仿宋_GB2312" w:hAnsi="黑体" w:eastAsia="仿宋_GB2312" w:cs="仿宋_GB2312"/>
          <w:kern w:val="0"/>
          <w:sz w:val="32"/>
          <w:szCs w:val="32"/>
        </w:rPr>
        <w:t>万元，增加</w:t>
      </w:r>
      <w:r>
        <w:rPr>
          <w:rFonts w:hint="eastAsia" w:ascii="仿宋_GB2312" w:hAnsi="黑体" w:eastAsia="仿宋_GB2312" w:cs="仿宋_GB2312"/>
          <w:kern w:val="0"/>
          <w:sz w:val="32"/>
          <w:szCs w:val="32"/>
          <w:lang w:val="en-US" w:eastAsia="zh-CN"/>
        </w:rPr>
        <w:t>8.04</w:t>
      </w:r>
      <w:r>
        <w:rPr>
          <w:rFonts w:hint="eastAsia" w:ascii="仿宋_GB2312" w:hAnsi="黑体" w:eastAsia="仿宋_GB2312" w:cs="仿宋_GB2312"/>
          <w:kern w:val="0"/>
          <w:sz w:val="32"/>
          <w:szCs w:val="32"/>
        </w:rPr>
        <w:t>%，主要原因是退休人员抚恤金增多，预算财政拨款收入随之增加。</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kern w:val="0"/>
          <w:sz w:val="32"/>
          <w:szCs w:val="32"/>
        </w:rPr>
        <w:t>2.政府性基金预算财政拨款收入0万元，为自治区本级财政当年拨付的资金。</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年度决算数增加0万元，增长0 %。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bCs/>
          <w:kern w:val="0"/>
          <w:sz w:val="32"/>
          <w:szCs w:val="32"/>
        </w:rPr>
        <w:t>3</w:t>
      </w:r>
      <w:r>
        <w:rPr>
          <w:rFonts w:hint="eastAsia" w:ascii="仿宋_GB2312" w:eastAsia="仿宋_GB2312"/>
          <w:kern w:val="0"/>
          <w:sz w:val="32"/>
          <w:szCs w:val="32"/>
        </w:rPr>
        <w:t>.国有资本经营预算财政拨款收入0万元，为自治区本级财政当年拨付的资金。</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 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kern w:val="0"/>
          <w:sz w:val="32"/>
          <w:szCs w:val="32"/>
        </w:rPr>
        <w:t>4.事业收入0万元，为事业单位开展业务活动取得的收入。</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年度决算数增加0万元，增长0%</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bCs/>
          <w:kern w:val="0"/>
          <w:sz w:val="32"/>
          <w:szCs w:val="32"/>
        </w:rPr>
        <w:t>5</w:t>
      </w:r>
      <w:r>
        <w:rPr>
          <w:rFonts w:hint="eastAsia" w:ascii="仿宋_GB2312" w:eastAsia="仿宋_GB2312"/>
          <w:kern w:val="0"/>
          <w:sz w:val="32"/>
          <w:szCs w:val="32"/>
        </w:rPr>
        <w:t>.经营收入0万，为事业单位在业务活动之外开展非独立核算经营活动取得的收入。</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bCs/>
          <w:kern w:val="0"/>
          <w:sz w:val="32"/>
          <w:szCs w:val="32"/>
        </w:rPr>
        <w:t>6</w:t>
      </w:r>
      <w:r>
        <w:rPr>
          <w:rFonts w:hint="eastAsia" w:ascii="仿宋_GB2312" w:eastAsia="仿宋_GB2312"/>
          <w:kern w:val="0"/>
          <w:sz w:val="32"/>
          <w:szCs w:val="32"/>
        </w:rPr>
        <w:t>.其他收入0万元，为预算单位在“财政拨款收入”</w:t>
      </w:r>
    </w:p>
    <w:p>
      <w:pPr>
        <w:keepNext w:val="0"/>
        <w:keepLines w:val="0"/>
        <w:pageBreakBefore w:val="0"/>
        <w:widowControl w:val="0"/>
        <w:kinsoku/>
        <w:wordWrap/>
        <w:overflowPunct/>
        <w:topLinePunct w:val="0"/>
        <w:autoSpaceDE w:val="0"/>
        <w:autoSpaceDN w:val="0"/>
        <w:bidi w:val="0"/>
        <w:adjustRightInd w:val="0"/>
        <w:snapToGrid/>
        <w:spacing w:line="600" w:lineRule="exact"/>
        <w:jc w:val="left"/>
        <w:textAlignment w:val="auto"/>
        <w:rPr>
          <w:rFonts w:ascii="仿宋_GB2312" w:eastAsia="仿宋_GB2312"/>
          <w:kern w:val="0"/>
          <w:sz w:val="32"/>
          <w:szCs w:val="32"/>
        </w:rPr>
      </w:pPr>
      <w:r>
        <w:rPr>
          <w:rFonts w:hint="eastAsia" w:ascii="仿宋_GB2312" w:eastAsia="仿宋_GB2312"/>
          <w:kern w:val="0"/>
          <w:sz w:val="32"/>
          <w:szCs w:val="32"/>
        </w:rPr>
        <w:t>“事业收入”“经营收入”之外取得的收入。</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bCs/>
          <w:kern w:val="0"/>
          <w:sz w:val="32"/>
          <w:szCs w:val="32"/>
        </w:rPr>
        <w:t>7</w:t>
      </w:r>
      <w:r>
        <w:rPr>
          <w:rFonts w:hint="eastAsia" w:ascii="仿宋_GB2312" w:eastAsia="仿宋_GB2312"/>
          <w:kern w:val="0"/>
          <w:sz w:val="32"/>
          <w:szCs w:val="32"/>
        </w:rPr>
        <w:t>.用事业基金弥补收支差额0万元，主要是所属事业单位在当年的“财政拨款收入”“事业收入”“经营收入”及“其他收入”不能保证其支出的情况下，使用以前年度积累的非财政拨款结余弥补本年度收支缺口的资金。</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年度决算数增加0万元，增长0%。</w:t>
      </w:r>
    </w:p>
    <w:p>
      <w:pPr>
        <w:keepNext w:val="0"/>
        <w:keepLines w:val="0"/>
        <w:pageBreakBefore w:val="0"/>
        <w:widowControl w:val="0"/>
        <w:kinsoku/>
        <w:wordWrap/>
        <w:overflowPunct/>
        <w:topLinePunct w:val="0"/>
        <w:bidi w:val="0"/>
        <w:snapToGrid/>
        <w:spacing w:line="600" w:lineRule="exact"/>
        <w:ind w:firstLine="640" w:firstLineChars="200"/>
        <w:textAlignment w:val="auto"/>
        <w:rPr>
          <w:szCs w:val="21"/>
        </w:rPr>
      </w:pPr>
      <w:r>
        <w:rPr>
          <w:rFonts w:hint="eastAsia" w:ascii="仿宋_GB2312" w:eastAsia="仿宋_GB2312"/>
          <w:bCs/>
          <w:kern w:val="0"/>
          <w:sz w:val="32"/>
          <w:szCs w:val="32"/>
        </w:rPr>
        <w:t>8</w:t>
      </w:r>
      <w:r>
        <w:rPr>
          <w:rFonts w:hint="eastAsia" w:ascii="仿宋_GB2312" w:eastAsia="仿宋_GB2312"/>
          <w:kern w:val="0"/>
          <w:sz w:val="32"/>
          <w:szCs w:val="32"/>
        </w:rPr>
        <w:t>.上年结转和结余0万元，为以前年度支出预算因客观条件变化未执行完毕、结转到本年度按有关规定继续使用的资金。</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年度决算数增加0万元，增长0%。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cs="仿宋_GB2312"/>
          <w:kern w:val="0"/>
          <w:sz w:val="32"/>
          <w:szCs w:val="32"/>
        </w:rPr>
      </w:pPr>
      <w:r>
        <w:rPr>
          <w:rFonts w:hint="eastAsia" w:ascii="仿宋_GB2312" w:eastAsia="仿宋_GB2312" w:cs="仿宋_GB2312"/>
          <w:kern w:val="0"/>
          <w:sz w:val="32"/>
          <w:szCs w:val="32"/>
        </w:rPr>
        <w:t>（二）本部门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年度总支出</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万元，其中本年支出</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 xml:space="preserve"> </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12.74</w:t>
      </w:r>
      <w:r>
        <w:rPr>
          <w:rFonts w:hint="eastAsia" w:ascii="仿宋_GB2312" w:hAnsi="黑体" w:eastAsia="仿宋_GB2312" w:cs="仿宋_GB2312"/>
          <w:kern w:val="0"/>
          <w:sz w:val="32"/>
          <w:szCs w:val="32"/>
        </w:rPr>
        <w:t>万元，增加</w:t>
      </w:r>
      <w:r>
        <w:rPr>
          <w:rFonts w:hint="eastAsia" w:ascii="仿宋_GB2312" w:hAnsi="黑体" w:eastAsia="仿宋_GB2312" w:cs="仿宋_GB2312"/>
          <w:kern w:val="0"/>
          <w:sz w:val="32"/>
          <w:szCs w:val="32"/>
          <w:lang w:val="en-US" w:eastAsia="zh-CN"/>
        </w:rPr>
        <w:t>8.04</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支出具体情况如下：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hAnsi="黑体" w:eastAsia="仿宋_GB2312" w:cs="仿宋_GB2312"/>
          <w:kern w:val="0"/>
          <w:sz w:val="32"/>
          <w:szCs w:val="32"/>
        </w:rPr>
      </w:pPr>
      <w:r>
        <w:rPr>
          <w:rFonts w:hint="eastAsia" w:ascii="仿宋_GB2312" w:eastAsia="仿宋_GB2312" w:cs="仿宋_GB2312"/>
          <w:kern w:val="0"/>
          <w:sz w:val="32"/>
          <w:szCs w:val="32"/>
        </w:rPr>
        <w:t>1.科学技术支出（类）</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万元，主要用于对个人及家庭的补助开支</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减少</w:t>
      </w:r>
      <w:r>
        <w:rPr>
          <w:rFonts w:hint="eastAsia" w:ascii="仿宋_GB2312" w:hAnsi="黑体" w:eastAsia="仿宋_GB2312" w:cs="仿宋_GB2312"/>
          <w:kern w:val="0"/>
          <w:sz w:val="32"/>
          <w:szCs w:val="32"/>
          <w:lang w:val="en-US" w:eastAsia="zh-CN"/>
        </w:rPr>
        <w:t>115.69</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下降</w:t>
      </w:r>
      <w:r>
        <w:rPr>
          <w:rFonts w:hint="eastAsia" w:ascii="仿宋_GB2312" w:hAnsi="黑体" w:eastAsia="仿宋_GB2312" w:cs="仿宋_GB2312"/>
          <w:kern w:val="0"/>
          <w:sz w:val="32"/>
          <w:szCs w:val="32"/>
          <w:lang w:val="en-US" w:eastAsia="zh-CN"/>
        </w:rPr>
        <w:t>100</w:t>
      </w:r>
      <w:r>
        <w:rPr>
          <w:rFonts w:hint="eastAsia" w:ascii="仿宋_GB2312" w:hAnsi="黑体" w:eastAsia="仿宋_GB2312" w:cs="仿宋_GB2312"/>
          <w:kern w:val="0"/>
          <w:sz w:val="32"/>
          <w:szCs w:val="32"/>
        </w:rPr>
        <w:t>%，主要原因是支出类别（离休费、春节慰问金等项目）重分类调整。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hAnsi="黑体" w:eastAsia="仿宋_GB2312" w:cs="仿宋_GB2312"/>
          <w:kern w:val="0"/>
          <w:sz w:val="32"/>
          <w:szCs w:val="32"/>
        </w:rPr>
      </w:pPr>
      <w:r>
        <w:rPr>
          <w:rFonts w:hint="eastAsia" w:ascii="仿宋_GB2312" w:eastAsia="仿宋_GB2312" w:cs="仿宋_GB2312"/>
          <w:kern w:val="0"/>
          <w:sz w:val="32"/>
          <w:szCs w:val="32"/>
        </w:rPr>
        <w:t>2.社会保障和就业支出（类）</w:t>
      </w:r>
      <w:r>
        <w:rPr>
          <w:rFonts w:hint="eastAsia" w:ascii="仿宋_GB2312" w:eastAsia="仿宋_GB2312"/>
          <w:kern w:val="0"/>
          <w:sz w:val="32"/>
          <w:szCs w:val="32"/>
          <w:lang w:val="en-US" w:eastAsia="zh-CN"/>
        </w:rPr>
        <w:t>171.13</w:t>
      </w:r>
      <w:r>
        <w:rPr>
          <w:rFonts w:hint="eastAsia" w:ascii="仿宋_GB2312" w:eastAsia="仿宋_GB2312" w:cs="仿宋_GB2312"/>
          <w:kern w:val="0"/>
          <w:sz w:val="32"/>
          <w:szCs w:val="32"/>
        </w:rPr>
        <w:t>万元，主要用于对个人及家庭的补助开支</w:t>
      </w:r>
      <w:r>
        <w:rPr>
          <w:rFonts w:hint="eastAsia" w:ascii="仿宋_GB2312" w:eastAsia="仿宋_GB2312" w:cs="仿宋_GB2312"/>
          <w:kern w:val="0"/>
          <w:sz w:val="32"/>
          <w:szCs w:val="32"/>
          <w:lang w:eastAsia="zh-CN"/>
        </w:rPr>
        <w:t>，</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w:t>
      </w:r>
      <w:r>
        <w:rPr>
          <w:rFonts w:hint="eastAsia" w:ascii="仿宋_GB2312" w:hAnsi="黑体" w:eastAsia="仿宋_GB2312" w:cs="仿宋_GB2312"/>
          <w:kern w:val="0"/>
          <w:sz w:val="32"/>
          <w:szCs w:val="32"/>
          <w:lang w:eastAsia="zh-CN"/>
        </w:rPr>
        <w:t>上升</w:t>
      </w:r>
      <w:r>
        <w:rPr>
          <w:rFonts w:hint="eastAsia" w:ascii="仿宋_GB2312" w:hAnsi="黑体" w:eastAsia="仿宋_GB2312" w:cs="仿宋_GB2312"/>
          <w:kern w:val="0"/>
          <w:sz w:val="32"/>
          <w:szCs w:val="32"/>
          <w:lang w:val="en-US" w:eastAsia="zh-CN"/>
        </w:rPr>
        <w:t>128.44</w:t>
      </w:r>
      <w:r>
        <w:rPr>
          <w:rFonts w:hint="eastAsia" w:ascii="仿宋_GB2312" w:hAnsi="黑体" w:eastAsia="仿宋_GB2312" w:cs="仿宋_GB2312"/>
          <w:kern w:val="0"/>
          <w:sz w:val="32"/>
          <w:szCs w:val="32"/>
        </w:rPr>
        <w:t>万元，</w:t>
      </w:r>
      <w:r>
        <w:rPr>
          <w:rFonts w:hint="eastAsia" w:ascii="仿宋_GB2312" w:hAnsi="黑体" w:eastAsia="仿宋_GB2312" w:cs="仿宋_GB2312"/>
          <w:kern w:val="0"/>
          <w:sz w:val="32"/>
          <w:szCs w:val="32"/>
          <w:lang w:eastAsia="zh-CN"/>
        </w:rPr>
        <w:t>上升</w:t>
      </w:r>
      <w:r>
        <w:rPr>
          <w:rFonts w:hint="eastAsia" w:ascii="仿宋_GB2312" w:hAnsi="黑体" w:eastAsia="仿宋_GB2312" w:cs="仿宋_GB2312"/>
          <w:kern w:val="0"/>
          <w:sz w:val="32"/>
          <w:szCs w:val="32"/>
          <w:lang w:val="en-US" w:eastAsia="zh-CN"/>
        </w:rPr>
        <w:t>300.87</w:t>
      </w:r>
      <w:r>
        <w:rPr>
          <w:rFonts w:hint="eastAsia" w:ascii="仿宋_GB2312" w:hAnsi="黑体" w:eastAsia="仿宋_GB2312" w:cs="仿宋_GB2312"/>
          <w:kern w:val="0"/>
          <w:sz w:val="32"/>
          <w:szCs w:val="32"/>
        </w:rPr>
        <w:t>%，主要原因是支出类别（离休费、春节慰问金等项目）重分类调整。</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ascii="仿宋_GB2312" w:eastAsia="仿宋_GB2312"/>
          <w:kern w:val="0"/>
          <w:sz w:val="32"/>
          <w:szCs w:val="32"/>
        </w:rPr>
      </w:pPr>
      <w:r>
        <w:rPr>
          <w:rFonts w:hint="eastAsia" w:ascii="仿宋_GB2312" w:eastAsia="仿宋_GB2312"/>
          <w:bCs/>
          <w:kern w:val="0"/>
          <w:sz w:val="32"/>
          <w:szCs w:val="32"/>
        </w:rPr>
        <w:t>3</w:t>
      </w:r>
      <w:r>
        <w:rPr>
          <w:rFonts w:hint="eastAsia" w:ascii="仿宋_GB2312" w:eastAsia="仿宋_GB2312"/>
          <w:kern w:val="0"/>
          <w:sz w:val="32"/>
          <w:szCs w:val="32"/>
        </w:rPr>
        <w:t>.结余分配0万元，为事业单位按规定提取的职工福利基金、事业基金和缴纳的所得税等。</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年度决算数增加0 万元，增长0%。</w:t>
      </w:r>
    </w:p>
    <w:p>
      <w:pPr>
        <w:keepNext w:val="0"/>
        <w:keepLines w:val="0"/>
        <w:pageBreakBefore w:val="0"/>
        <w:widowControl w:val="0"/>
        <w:kinsoku/>
        <w:wordWrap/>
        <w:overflowPunct/>
        <w:topLinePunct w:val="0"/>
        <w:bidi w:val="0"/>
        <w:snapToGrid/>
        <w:spacing w:line="600" w:lineRule="exact"/>
        <w:ind w:firstLine="640" w:firstLineChars="200"/>
        <w:textAlignment w:val="auto"/>
        <w:rPr>
          <w:szCs w:val="21"/>
        </w:rPr>
      </w:pPr>
      <w:r>
        <w:rPr>
          <w:rFonts w:hint="eastAsia" w:ascii="仿宋_GB2312" w:eastAsia="仿宋_GB2312"/>
          <w:bCs/>
          <w:kern w:val="0"/>
          <w:sz w:val="32"/>
          <w:szCs w:val="32"/>
        </w:rPr>
        <w:t>4</w:t>
      </w:r>
      <w:r>
        <w:rPr>
          <w:rFonts w:hint="eastAsia" w:ascii="仿宋_GB2312" w:eastAsia="仿宋_GB2312"/>
          <w:kern w:val="0"/>
          <w:sz w:val="32"/>
          <w:szCs w:val="32"/>
        </w:rPr>
        <w:t>.年末结转和结余0万元，为本年度或以前年度预算安排、因客观条件发生变化无法按原计划实施，需要延迟到以后年度按有关规定继续使用的资金。</w:t>
      </w:r>
      <w:r>
        <w:rPr>
          <w:rFonts w:hint="eastAsia" w:ascii="仿宋_GB2312" w:hAnsi="黑体" w:eastAsia="仿宋_GB2312"/>
          <w:kern w:val="0"/>
          <w:sz w:val="32"/>
          <w:szCs w:val="32"/>
        </w:rPr>
        <w:t>较</w:t>
      </w:r>
      <w:r>
        <w:rPr>
          <w:rFonts w:hint="eastAsia" w:ascii="仿宋_GB2312" w:hAnsi="黑体" w:eastAsia="仿宋_GB2312"/>
          <w:kern w:val="0"/>
          <w:sz w:val="32"/>
          <w:szCs w:val="32"/>
          <w:lang w:eastAsia="zh-CN"/>
        </w:rPr>
        <w:t>2021</w:t>
      </w:r>
      <w:r>
        <w:rPr>
          <w:rFonts w:hint="eastAsia" w:ascii="仿宋_GB2312" w:hAnsi="黑体" w:eastAsia="仿宋_GB2312"/>
          <w:kern w:val="0"/>
          <w:sz w:val="32"/>
          <w:szCs w:val="32"/>
        </w:rPr>
        <w:t>年度决算数增加 0万元，增长0%。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kern w:val="0"/>
          <w:sz w:val="32"/>
          <w:szCs w:val="32"/>
          <w:lang w:eastAsia="zh-CN"/>
        </w:rPr>
        <w:t>2022</w:t>
      </w:r>
      <w:r>
        <w:rPr>
          <w:rFonts w:hint="eastAsia" w:ascii="黑体" w:hAnsi="黑体" w:eastAsia="黑体" w:cs="仿宋_GB2312"/>
          <w:kern w:val="0"/>
          <w:sz w:val="32"/>
          <w:szCs w:val="32"/>
        </w:rPr>
        <w:t>年度</w:t>
      </w:r>
      <w:r>
        <w:rPr>
          <w:rFonts w:hint="eastAsia" w:ascii="黑体" w:hAnsi="黑体" w:eastAsia="黑体"/>
          <w:sz w:val="32"/>
          <w:szCs w:val="32"/>
        </w:rPr>
        <w:t>一般</w:t>
      </w:r>
      <w:r>
        <w:rPr>
          <w:rFonts w:hint="eastAsia" w:ascii="黑体" w:hAnsi="黑体" w:eastAsia="黑体" w:cs="仿宋_GB2312"/>
          <w:kern w:val="0"/>
          <w:sz w:val="32"/>
          <w:szCs w:val="32"/>
        </w:rPr>
        <w:t>公共预算财政拨款支出决算情况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公共预算财政拨款支出</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hAnsi="黑体" w:eastAsia="仿宋_GB2312" w:cs="仿宋_GB2312"/>
          <w:kern w:val="0"/>
          <w:sz w:val="32"/>
          <w:szCs w:val="32"/>
          <w:lang w:val="en-US" w:eastAsia="zh-CN"/>
        </w:rPr>
        <w:t>12.74</w:t>
      </w:r>
      <w:r>
        <w:rPr>
          <w:rFonts w:hint="eastAsia" w:ascii="仿宋_GB2312" w:hAnsi="黑体" w:eastAsia="仿宋_GB2312" w:cs="仿宋_GB2312"/>
          <w:kern w:val="0"/>
          <w:sz w:val="32"/>
          <w:szCs w:val="32"/>
        </w:rPr>
        <w:t>万元，增加</w:t>
      </w:r>
      <w:r>
        <w:rPr>
          <w:rFonts w:hint="eastAsia" w:ascii="仿宋_GB2312" w:hAnsi="黑体" w:eastAsia="仿宋_GB2312" w:cs="仿宋_GB2312"/>
          <w:kern w:val="0"/>
          <w:sz w:val="32"/>
          <w:szCs w:val="32"/>
          <w:lang w:val="en-US" w:eastAsia="zh-CN"/>
        </w:rPr>
        <w:t>8.04</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lang w:val="en-US" w:eastAsia="zh-CN"/>
        </w:rPr>
        <w:t>132.06</w:t>
      </w:r>
      <w:r>
        <w:rPr>
          <w:rFonts w:hint="eastAsia" w:ascii="仿宋_GB2312" w:eastAsia="仿宋_GB2312" w:cs="仿宋_GB2312"/>
          <w:kern w:val="0"/>
          <w:sz w:val="32"/>
          <w:szCs w:val="32"/>
        </w:rPr>
        <w:t>万元，项目支出</w:t>
      </w:r>
      <w:r>
        <w:rPr>
          <w:rFonts w:hint="eastAsia" w:ascii="仿宋_GB2312" w:eastAsia="仿宋_GB2312"/>
          <w:kern w:val="0"/>
          <w:sz w:val="32"/>
          <w:szCs w:val="32"/>
        </w:rPr>
        <w:t>39.</w:t>
      </w:r>
      <w:r>
        <w:rPr>
          <w:rFonts w:hint="eastAsia" w:ascii="仿宋_GB2312" w:eastAsia="仿宋_GB2312"/>
          <w:kern w:val="0"/>
          <w:sz w:val="32"/>
          <w:szCs w:val="32"/>
          <w:lang w:val="en-US" w:eastAsia="zh-CN"/>
        </w:rPr>
        <w:t>07</w:t>
      </w:r>
      <w:r>
        <w:rPr>
          <w:rFonts w:hint="eastAsia" w:asci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hAnsi="黑体"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hAnsi="黑体" w:eastAsia="仿宋_GB2312"/>
          <w:kern w:val="0"/>
          <w:sz w:val="32"/>
          <w:szCs w:val="32"/>
          <w:lang w:eastAsia="zh-CN"/>
        </w:rPr>
        <w:t>2022</w:t>
      </w:r>
      <w:r>
        <w:rPr>
          <w:rFonts w:hint="eastAsia" w:ascii="仿宋_GB2312" w:hAnsi="黑体" w:eastAsia="仿宋_GB2312" w:cs="仿宋_GB2312"/>
          <w:kern w:val="0"/>
          <w:sz w:val="32"/>
          <w:szCs w:val="32"/>
        </w:rPr>
        <w:t>年度</w:t>
      </w:r>
      <w:r>
        <w:rPr>
          <w:rFonts w:hint="eastAsia" w:ascii="仿宋_GB2312" w:hAnsi="黑体" w:eastAsia="仿宋_GB2312"/>
          <w:sz w:val="32"/>
          <w:szCs w:val="32"/>
        </w:rPr>
        <w:t>一般</w:t>
      </w:r>
      <w:r>
        <w:rPr>
          <w:rFonts w:hint="eastAsia" w:ascii="仿宋_GB2312" w:hAnsi="黑体" w:eastAsia="仿宋_GB2312" w:cs="仿宋_GB2312"/>
          <w:kern w:val="0"/>
          <w:sz w:val="32"/>
          <w:szCs w:val="32"/>
        </w:rPr>
        <w:t>公共预算财政拨款支出年初预算为</w:t>
      </w:r>
      <w:r>
        <w:rPr>
          <w:rFonts w:hint="eastAsia" w:ascii="仿宋_GB2312" w:hAnsi="黑体" w:eastAsia="仿宋_GB2312" w:cs="仿宋_GB2312"/>
          <w:kern w:val="0"/>
          <w:sz w:val="32"/>
          <w:szCs w:val="32"/>
          <w:lang w:val="en-US" w:eastAsia="zh-CN"/>
        </w:rPr>
        <w:t>140.10</w:t>
      </w:r>
      <w:r>
        <w:rPr>
          <w:rFonts w:hint="eastAsia" w:ascii="仿宋_GB2312" w:hAnsi="黑体" w:eastAsia="仿宋_GB2312" w:cs="仿宋_GB2312"/>
          <w:kern w:val="0"/>
          <w:sz w:val="32"/>
          <w:szCs w:val="32"/>
        </w:rPr>
        <w:t>万元，支出决算为</w:t>
      </w:r>
      <w:r>
        <w:rPr>
          <w:rFonts w:hint="eastAsia" w:ascii="仿宋_GB2312" w:eastAsia="仿宋_GB2312" w:cs="仿宋_GB2312"/>
          <w:kern w:val="0"/>
          <w:sz w:val="32"/>
          <w:szCs w:val="32"/>
          <w:lang w:val="en-US" w:eastAsia="zh-CN"/>
        </w:rPr>
        <w:t>171.13</w:t>
      </w:r>
      <w:r>
        <w:rPr>
          <w:rFonts w:hint="eastAsia" w:ascii="仿宋_GB2312" w:hAnsi="黑体" w:eastAsia="仿宋_GB2312" w:cs="仿宋_GB2312"/>
          <w:kern w:val="0"/>
          <w:sz w:val="32"/>
          <w:szCs w:val="32"/>
        </w:rPr>
        <w:t>万元，完成年初预算的</w:t>
      </w:r>
      <w:r>
        <w:rPr>
          <w:rFonts w:hint="eastAsia" w:ascii="仿宋_GB2312" w:hAnsi="黑体" w:eastAsia="仿宋_GB2312" w:cs="仿宋_GB2312"/>
          <w:kern w:val="0"/>
          <w:sz w:val="32"/>
          <w:szCs w:val="32"/>
          <w:lang w:val="en-US" w:eastAsia="zh-CN"/>
        </w:rPr>
        <w:t>122.15</w:t>
      </w:r>
      <w:r>
        <w:rPr>
          <w:rFonts w:hint="eastAsia" w:ascii="仿宋_GB2312" w:hAnsi="黑体" w:eastAsia="仿宋_GB2312" w:cs="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hint="eastAsia" w:ascii="仿宋_GB2312" w:hAnsi="黑体" w:eastAsia="仿宋_GB2312"/>
          <w:kern w:val="0"/>
          <w:sz w:val="32"/>
          <w:szCs w:val="32"/>
        </w:rPr>
      </w:pPr>
      <w:r>
        <w:rPr>
          <w:rFonts w:hint="eastAsia" w:ascii="仿宋_GB2312" w:eastAsia="仿宋_GB2312" w:cs="仿宋_GB2312"/>
          <w:kern w:val="0"/>
          <w:sz w:val="32"/>
          <w:szCs w:val="32"/>
        </w:rPr>
        <w:t>社会保障和就业支出（类）行政事业单位养老支出（款）事业单位离退休（项）</w:t>
      </w:r>
      <w:r>
        <w:rPr>
          <w:rFonts w:hint="eastAsia" w:ascii="仿宋_GB2312" w:hAnsi="黑体" w:eastAsia="仿宋_GB2312" w:cs="仿宋_GB2312"/>
          <w:kern w:val="0"/>
          <w:sz w:val="32"/>
          <w:szCs w:val="32"/>
        </w:rPr>
        <w:t>支出决算为</w:t>
      </w:r>
      <w:r>
        <w:rPr>
          <w:rFonts w:hint="eastAsia" w:ascii="仿宋_GB2312" w:eastAsia="仿宋_GB2312" w:cs="仿宋_GB2312"/>
          <w:kern w:val="0"/>
          <w:sz w:val="32"/>
          <w:szCs w:val="32"/>
          <w:lang w:val="en-US" w:eastAsia="zh-CN"/>
        </w:rPr>
        <w:t>132.06</w:t>
      </w:r>
      <w:r>
        <w:rPr>
          <w:rFonts w:hint="eastAsia" w:ascii="仿宋_GB2312" w:hAnsi="黑体" w:eastAsia="仿宋_GB2312" w:cs="仿宋_GB2312"/>
          <w:kern w:val="0"/>
          <w:sz w:val="32"/>
          <w:szCs w:val="32"/>
        </w:rPr>
        <w:t>万元，年初预算为</w:t>
      </w:r>
      <w:r>
        <w:rPr>
          <w:rFonts w:hint="eastAsia" w:ascii="仿宋_GB2312" w:hAnsi="黑体" w:eastAsia="仿宋_GB2312" w:cs="仿宋_GB2312"/>
          <w:kern w:val="0"/>
          <w:sz w:val="32"/>
          <w:szCs w:val="32"/>
          <w:lang w:val="en-US" w:eastAsia="zh-CN"/>
        </w:rPr>
        <w:t>140.10</w:t>
      </w:r>
      <w:r>
        <w:rPr>
          <w:rFonts w:hint="eastAsia" w:ascii="仿宋_GB2312" w:hAnsi="黑体" w:eastAsia="仿宋_GB2312" w:cs="仿宋_GB2312"/>
          <w:kern w:val="0"/>
          <w:sz w:val="32"/>
          <w:szCs w:val="32"/>
        </w:rPr>
        <w:t>万元，</w:t>
      </w:r>
      <w:bookmarkStart w:id="0" w:name="_Hlk118056223"/>
      <w:r>
        <w:rPr>
          <w:rFonts w:hint="eastAsia" w:ascii="仿宋_GB2312" w:hAnsi="黑体" w:eastAsia="仿宋_GB2312" w:cs="仿宋_GB2312"/>
          <w:kern w:val="0"/>
          <w:sz w:val="32"/>
          <w:szCs w:val="32"/>
        </w:rPr>
        <w:t>完成本年预算的</w:t>
      </w:r>
      <w:r>
        <w:rPr>
          <w:rFonts w:hint="eastAsia" w:ascii="仿宋_GB2312" w:hAnsi="黑体" w:eastAsia="仿宋_GB2312" w:cs="仿宋_GB2312"/>
          <w:kern w:val="0"/>
          <w:sz w:val="32"/>
          <w:szCs w:val="32"/>
          <w:lang w:val="en-US" w:eastAsia="zh-CN"/>
        </w:rPr>
        <w:t>94.26</w:t>
      </w:r>
      <w:r>
        <w:rPr>
          <w:rFonts w:hint="eastAsia" w:ascii="仿宋_GB2312" w:hAnsi="黑体" w:eastAsia="仿宋_GB2312" w:cs="仿宋_GB2312"/>
          <w:kern w:val="0"/>
          <w:sz w:val="32"/>
          <w:szCs w:val="32"/>
        </w:rPr>
        <w:t>%</w:t>
      </w:r>
      <w:bookmarkEnd w:id="0"/>
      <w:r>
        <w:rPr>
          <w:rFonts w:hint="eastAsia" w:ascii="仿宋_GB2312" w:hAnsi="黑体" w:eastAsia="仿宋_GB2312" w:cs="仿宋_GB2312"/>
          <w:kern w:val="0"/>
          <w:sz w:val="32"/>
          <w:szCs w:val="32"/>
          <w:lang w:eastAsia="zh-CN"/>
        </w:rPr>
        <w:t>。</w:t>
      </w:r>
      <w:r>
        <w:rPr>
          <w:rFonts w:hint="eastAsia" w:ascii="仿宋_GB2312" w:eastAsia="仿宋_GB2312" w:cs="仿宋_GB2312"/>
          <w:kern w:val="0"/>
          <w:sz w:val="32"/>
          <w:szCs w:val="32"/>
        </w:rPr>
        <w:t>事业单位离退休</w:t>
      </w:r>
      <w:r>
        <w:rPr>
          <w:rFonts w:hint="eastAsia" w:ascii="仿宋_GB2312" w:hAnsi="黑体" w:eastAsia="仿宋_GB2312" w:cs="仿宋_GB2312"/>
          <w:kern w:val="0"/>
          <w:sz w:val="32"/>
          <w:szCs w:val="32"/>
        </w:rPr>
        <w:t>主要用于</w:t>
      </w:r>
      <w:r>
        <w:rPr>
          <w:rFonts w:hint="eastAsia" w:ascii="仿宋_GB2312" w:hAnsi="黑体" w:eastAsia="仿宋_GB2312"/>
          <w:bCs/>
          <w:color w:val="000000"/>
          <w:sz w:val="32"/>
          <w:szCs w:val="32"/>
        </w:rPr>
        <w:t>按国家规定</w:t>
      </w:r>
      <w:r>
        <w:rPr>
          <w:rFonts w:hint="eastAsia" w:ascii="仿宋_GB2312" w:eastAsia="仿宋_GB2312" w:cs="仿宋_GB2312"/>
          <w:kern w:val="0"/>
          <w:sz w:val="32"/>
          <w:szCs w:val="32"/>
        </w:rPr>
        <w:t>发放的离退休人员</w:t>
      </w:r>
      <w:r>
        <w:rPr>
          <w:rFonts w:hint="eastAsia" w:ascii="仿宋_GB2312" w:hAnsi="黑体" w:eastAsia="仿宋_GB2312" w:cs="仿宋_GB2312"/>
          <w:kern w:val="0"/>
          <w:sz w:val="32"/>
          <w:szCs w:val="32"/>
        </w:rPr>
        <w:t>春节慰问金、</w:t>
      </w:r>
      <w:r>
        <w:rPr>
          <w:rFonts w:hint="eastAsia" w:ascii="仿宋_GB2312" w:eastAsia="仿宋_GB2312" w:cs="仿宋_GB2312"/>
          <w:kern w:val="0"/>
          <w:sz w:val="32"/>
          <w:szCs w:val="32"/>
        </w:rPr>
        <w:t>生活补助、物业补贴等方面的支出</w:t>
      </w:r>
      <w:r>
        <w:rPr>
          <w:rFonts w:hint="eastAsia" w:ascii="仿宋_GB2312" w:hAnsi="黑体" w:eastAsia="仿宋_GB2312"/>
          <w:kern w:val="0"/>
          <w:sz w:val="32"/>
          <w:szCs w:val="32"/>
        </w:rPr>
        <w:t>。</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jc w:val="left"/>
        <w:textAlignment w:val="auto"/>
        <w:rPr>
          <w:rFonts w:hint="eastAsia" w:ascii="仿宋_GB2312" w:hAnsi="黑体" w:eastAsia="仿宋_GB2312"/>
          <w:kern w:val="0"/>
          <w:sz w:val="32"/>
          <w:szCs w:val="32"/>
        </w:rPr>
      </w:pPr>
      <w:r>
        <w:rPr>
          <w:rFonts w:hint="eastAsia" w:ascii="仿宋_GB2312" w:hAnsi="黑体" w:eastAsia="仿宋_GB2312"/>
          <w:kern w:val="0"/>
          <w:sz w:val="32"/>
          <w:szCs w:val="32"/>
        </w:rPr>
        <w:t>社会保障和就业支出（类）行政事业单位养老支出（款）死亡抚恤（项）支出决算为</w:t>
      </w:r>
      <w:r>
        <w:rPr>
          <w:rFonts w:hint="eastAsia" w:ascii="仿宋_GB2312" w:hAnsi="黑体" w:eastAsia="仿宋_GB2312"/>
          <w:kern w:val="0"/>
          <w:sz w:val="32"/>
          <w:szCs w:val="32"/>
          <w:lang w:val="en-US" w:eastAsia="zh-CN"/>
        </w:rPr>
        <w:t>39.07</w:t>
      </w:r>
      <w:r>
        <w:rPr>
          <w:rFonts w:hint="eastAsia" w:ascii="仿宋_GB2312" w:hAnsi="黑体" w:eastAsia="仿宋_GB2312"/>
          <w:kern w:val="0"/>
          <w:sz w:val="32"/>
          <w:szCs w:val="32"/>
        </w:rPr>
        <w:t>万元，年初预算为0万元，完成本年预算的100.00%。主要用于按国家规定发放的</w:t>
      </w:r>
      <w:r>
        <w:rPr>
          <w:rFonts w:hint="eastAsia" w:ascii="仿宋_GB2312" w:hAnsi="黑体" w:eastAsia="仿宋_GB2312"/>
          <w:kern w:val="0"/>
          <w:sz w:val="32"/>
          <w:szCs w:val="32"/>
          <w:lang w:eastAsia="zh-CN"/>
        </w:rPr>
        <w:t>离退休人员</w:t>
      </w:r>
      <w:r>
        <w:rPr>
          <w:rFonts w:hint="eastAsia" w:ascii="仿宋_GB2312" w:hAnsi="黑体" w:eastAsia="仿宋_GB2312"/>
          <w:kern w:val="0"/>
          <w:sz w:val="32"/>
          <w:szCs w:val="32"/>
        </w:rPr>
        <w:t>死亡抚恤的支出。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三、</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w:t>
      </w:r>
      <w:r>
        <w:rPr>
          <w:rFonts w:hint="eastAsia" w:ascii="仿宋_GB2312" w:eastAsia="仿宋_GB2312"/>
          <w:sz w:val="32"/>
          <w:szCs w:val="32"/>
        </w:rPr>
        <w:t>一般</w:t>
      </w:r>
      <w:r>
        <w:rPr>
          <w:rFonts w:hint="eastAsia" w:ascii="仿宋_GB2312" w:eastAsia="仿宋_GB2312" w:cs="仿宋_GB2312"/>
          <w:kern w:val="0"/>
          <w:sz w:val="32"/>
          <w:szCs w:val="32"/>
        </w:rPr>
        <w:t>公共预算财政拨款基本支出</w:t>
      </w:r>
      <w:r>
        <w:rPr>
          <w:rFonts w:hint="eastAsia" w:ascii="仿宋_GB2312" w:eastAsia="仿宋_GB2312" w:cs="仿宋_GB2312"/>
          <w:kern w:val="0"/>
          <w:sz w:val="32"/>
          <w:szCs w:val="32"/>
          <w:lang w:val="en-US" w:eastAsia="zh-CN"/>
        </w:rPr>
        <w:t>171.13</w:t>
      </w:r>
      <w:r>
        <w:rPr>
          <w:rFonts w:hint="eastAsia" w:ascii="仿宋_GB2312" w:eastAsia="仿宋_GB2312" w:cs="仿宋_GB2312"/>
          <w:kern w:val="0"/>
          <w:sz w:val="32"/>
          <w:szCs w:val="32"/>
        </w:rPr>
        <w:t>万元，支出具体情况如下：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ascii="仿宋_GB2312" w:eastAsia="仿宋_GB2312" w:cs="仿宋_GB2312"/>
          <w:kern w:val="0"/>
          <w:sz w:val="32"/>
          <w:szCs w:val="32"/>
        </w:rPr>
      </w:pPr>
      <w:r>
        <w:rPr>
          <w:rFonts w:hint="eastAsia" w:ascii="仿宋_GB2312" w:eastAsia="仿宋_GB2312" w:cs="仿宋_GB2312"/>
          <w:kern w:val="0"/>
          <w:sz w:val="32"/>
          <w:szCs w:val="32"/>
        </w:rPr>
        <w:t>对个人和家庭的补助支出决算</w:t>
      </w:r>
      <w:r>
        <w:rPr>
          <w:rFonts w:hint="eastAsia" w:ascii="仿宋_GB2312" w:eastAsia="仿宋_GB2312"/>
          <w:bCs/>
          <w:kern w:val="0"/>
          <w:sz w:val="32"/>
          <w:szCs w:val="32"/>
          <w:lang w:val="en-US" w:eastAsia="zh-CN"/>
        </w:rPr>
        <w:t>171.13</w:t>
      </w:r>
      <w:r>
        <w:rPr>
          <w:rFonts w:hint="eastAsia" w:ascii="仿宋_GB2312" w:eastAsia="仿宋_GB2312" w:cs="仿宋_GB2312"/>
          <w:kern w:val="0"/>
          <w:sz w:val="32"/>
          <w:szCs w:val="32"/>
        </w:rPr>
        <w:t>万元，年初预算</w:t>
      </w:r>
      <w:r>
        <w:rPr>
          <w:rFonts w:hint="eastAsia" w:ascii="仿宋_GB2312" w:hAnsi="黑体" w:eastAsia="仿宋_GB2312" w:cs="仿宋_GB2312"/>
          <w:kern w:val="0"/>
          <w:sz w:val="32"/>
          <w:szCs w:val="32"/>
          <w:lang w:val="en-US" w:eastAsia="zh-CN"/>
        </w:rPr>
        <w:t>140.10</w:t>
      </w:r>
      <w:r>
        <w:rPr>
          <w:rFonts w:hint="eastAsia" w:ascii="仿宋_GB2312" w:eastAsia="仿宋_GB2312" w:cs="仿宋_GB2312"/>
          <w:kern w:val="0"/>
          <w:sz w:val="32"/>
          <w:szCs w:val="32"/>
        </w:rPr>
        <w:t>万元，完成本年预算的</w:t>
      </w:r>
      <w:r>
        <w:rPr>
          <w:rFonts w:hint="eastAsia" w:ascii="仿宋_GB2312" w:eastAsia="仿宋_GB2312"/>
          <w:bCs/>
          <w:kern w:val="0"/>
          <w:sz w:val="32"/>
          <w:szCs w:val="32"/>
          <w:lang w:val="en-US" w:eastAsia="zh-CN"/>
        </w:rPr>
        <w:t>122.15</w:t>
      </w:r>
      <w:r>
        <w:rPr>
          <w:rFonts w:hint="eastAsia" w:ascii="仿宋_GB2312" w:eastAsia="仿宋_GB2312"/>
          <w:bCs/>
          <w:kern w:val="0"/>
          <w:sz w:val="32"/>
          <w:szCs w:val="32"/>
        </w:rPr>
        <w:t>%</w:t>
      </w:r>
      <w:r>
        <w:rPr>
          <w:rFonts w:hint="eastAsia" w:ascii="仿宋_GB2312" w:eastAsia="仿宋_GB2312" w:cs="仿宋_GB2312"/>
          <w:kern w:val="0"/>
          <w:sz w:val="32"/>
          <w:szCs w:val="32"/>
        </w:rPr>
        <w:t>。决算数大于预算数的主要原因是追加退休人员去世产生的抚恤金</w:t>
      </w:r>
      <w:r>
        <w:rPr>
          <w:rFonts w:hint="eastAsia" w:ascii="仿宋_GB2312" w:eastAsia="仿宋_GB2312" w:cs="仿宋_GB2312"/>
          <w:kern w:val="0"/>
          <w:sz w:val="32"/>
          <w:szCs w:val="32"/>
          <w:lang w:val="en-US" w:eastAsia="zh-CN"/>
        </w:rPr>
        <w:t>39.07</w:t>
      </w:r>
      <w:r>
        <w:rPr>
          <w:rFonts w:hint="eastAsia" w:ascii="仿宋_GB2312" w:eastAsia="仿宋_GB2312" w:cs="仿宋_GB2312"/>
          <w:kern w:val="0"/>
          <w:sz w:val="32"/>
          <w:szCs w:val="32"/>
        </w:rPr>
        <w:t>万元。主要用于离休人员的离休费支出、退休人员的抚恤金等。主要包括：</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ascii="仿宋_GB2312" w:eastAsia="仿宋_GB2312" w:cs="仿宋_GB2312"/>
          <w:color w:val="FF0000"/>
          <w:kern w:val="0"/>
          <w:sz w:val="32"/>
          <w:szCs w:val="32"/>
        </w:rPr>
      </w:pPr>
      <w:r>
        <w:rPr>
          <w:rFonts w:hint="eastAsia" w:ascii="仿宋_GB2312" w:eastAsia="仿宋_GB2312" w:cs="仿宋_GB2312"/>
          <w:kern w:val="0"/>
          <w:sz w:val="32"/>
          <w:szCs w:val="32"/>
        </w:rPr>
        <w:t>（一）离退休</w:t>
      </w:r>
      <w:r>
        <w:rPr>
          <w:rFonts w:hint="eastAsia" w:ascii="仿宋_GB2312" w:eastAsia="仿宋_GB2312" w:cs="仿宋_GB2312"/>
          <w:kern w:val="0"/>
          <w:sz w:val="32"/>
          <w:szCs w:val="32"/>
          <w:lang w:eastAsia="zh-CN"/>
        </w:rPr>
        <w:t>费</w:t>
      </w:r>
      <w:r>
        <w:rPr>
          <w:rFonts w:hint="eastAsia" w:ascii="仿宋_GB2312" w:eastAsia="仿宋_GB2312" w:cs="仿宋_GB2312"/>
          <w:kern w:val="0"/>
          <w:sz w:val="32"/>
          <w:szCs w:val="32"/>
        </w:rPr>
        <w:t>决算</w:t>
      </w:r>
      <w:r>
        <w:rPr>
          <w:rFonts w:hint="eastAsia" w:ascii="仿宋_GB2312" w:eastAsia="仿宋_GB2312" w:cs="仿宋_GB2312"/>
          <w:kern w:val="0"/>
          <w:sz w:val="32"/>
          <w:szCs w:val="32"/>
          <w:lang w:val="en-US" w:eastAsia="zh-CN"/>
        </w:rPr>
        <w:t>127.93</w:t>
      </w:r>
      <w:r>
        <w:rPr>
          <w:rFonts w:hint="eastAsia" w:ascii="仿宋_GB2312" w:eastAsia="仿宋_GB2312" w:cs="仿宋_GB2312"/>
          <w:kern w:val="0"/>
          <w:sz w:val="32"/>
          <w:szCs w:val="32"/>
        </w:rPr>
        <w:t>万元，年初预</w:t>
      </w:r>
      <w:r>
        <w:rPr>
          <w:rFonts w:hint="eastAsia" w:ascii="仿宋_GB2312" w:eastAsia="仿宋_GB2312" w:cs="仿宋_GB2312"/>
          <w:color w:val="auto"/>
          <w:kern w:val="0"/>
          <w:sz w:val="32"/>
          <w:szCs w:val="32"/>
        </w:rPr>
        <w:t>算</w:t>
      </w:r>
      <w:r>
        <w:rPr>
          <w:rFonts w:hint="eastAsia" w:ascii="仿宋_GB2312" w:eastAsia="仿宋_GB2312" w:cs="仿宋_GB2312"/>
          <w:color w:val="auto"/>
          <w:kern w:val="0"/>
          <w:sz w:val="32"/>
          <w:szCs w:val="32"/>
          <w:lang w:val="en-US" w:eastAsia="zh-CN"/>
        </w:rPr>
        <w:t>138.8</w:t>
      </w:r>
      <w:r>
        <w:rPr>
          <w:rFonts w:hint="eastAsia" w:ascii="仿宋_GB2312" w:eastAsia="仿宋_GB2312" w:cs="仿宋_GB2312"/>
          <w:color w:val="auto"/>
          <w:kern w:val="0"/>
          <w:sz w:val="32"/>
          <w:szCs w:val="32"/>
        </w:rPr>
        <w:t>万</w:t>
      </w:r>
      <w:r>
        <w:rPr>
          <w:rFonts w:hint="eastAsia" w:ascii="仿宋_GB2312" w:eastAsia="仿宋_GB2312" w:cs="仿宋_GB2312"/>
          <w:kern w:val="0"/>
          <w:sz w:val="32"/>
          <w:szCs w:val="32"/>
        </w:rPr>
        <w:t>元，完成本年预算的</w:t>
      </w:r>
      <w:r>
        <w:rPr>
          <w:rFonts w:hint="eastAsia" w:ascii="仿宋_GB2312" w:eastAsia="仿宋_GB2312" w:cs="仿宋_GB2312"/>
          <w:kern w:val="0"/>
          <w:sz w:val="32"/>
          <w:szCs w:val="32"/>
          <w:lang w:val="en-US" w:eastAsia="zh-CN"/>
        </w:rPr>
        <w:t>92.17</w:t>
      </w:r>
      <w:r>
        <w:rPr>
          <w:rFonts w:hint="eastAsia" w:ascii="仿宋_GB2312" w:eastAsia="仿宋_GB2312" w:cs="仿宋_GB2312"/>
          <w:kern w:val="0"/>
          <w:sz w:val="32"/>
          <w:szCs w:val="32"/>
        </w:rPr>
        <w:t>%。主要用于离</w:t>
      </w:r>
      <w:r>
        <w:rPr>
          <w:rFonts w:hint="eastAsia" w:ascii="仿宋_GB2312" w:eastAsia="仿宋_GB2312" w:cs="仿宋_GB2312"/>
          <w:kern w:val="0"/>
          <w:sz w:val="32"/>
          <w:szCs w:val="32"/>
          <w:lang w:eastAsia="zh-CN"/>
        </w:rPr>
        <w:t>退</w:t>
      </w:r>
      <w:r>
        <w:rPr>
          <w:rFonts w:hint="eastAsia" w:ascii="仿宋_GB2312" w:eastAsia="仿宋_GB2312" w:cs="仿宋_GB2312"/>
          <w:kern w:val="0"/>
          <w:sz w:val="32"/>
          <w:szCs w:val="32"/>
        </w:rPr>
        <w:t>休人员的离</w:t>
      </w:r>
      <w:r>
        <w:rPr>
          <w:rFonts w:hint="eastAsia" w:ascii="仿宋_GB2312" w:eastAsia="仿宋_GB2312" w:cs="仿宋_GB2312"/>
          <w:kern w:val="0"/>
          <w:sz w:val="32"/>
          <w:szCs w:val="32"/>
          <w:lang w:eastAsia="zh-CN"/>
        </w:rPr>
        <w:t>退</w:t>
      </w:r>
      <w:r>
        <w:rPr>
          <w:rFonts w:hint="eastAsia" w:ascii="仿宋_GB2312" w:eastAsia="仿宋_GB2312" w:cs="仿宋_GB2312"/>
          <w:kern w:val="0"/>
          <w:sz w:val="32"/>
          <w:szCs w:val="32"/>
        </w:rPr>
        <w:t>休费支出。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二</w:t>
      </w:r>
      <w:r>
        <w:rPr>
          <w:rFonts w:hint="eastAsia" w:ascii="仿宋_GB2312" w:eastAsia="仿宋_GB2312" w:cs="仿宋_GB2312"/>
          <w:kern w:val="0"/>
          <w:sz w:val="32"/>
          <w:szCs w:val="32"/>
        </w:rPr>
        <w:t>）抚恤金支出决算</w:t>
      </w:r>
      <w:r>
        <w:rPr>
          <w:rFonts w:hint="eastAsia" w:ascii="仿宋_GB2312" w:eastAsia="仿宋_GB2312" w:cs="仿宋_GB2312"/>
          <w:kern w:val="0"/>
          <w:sz w:val="32"/>
          <w:szCs w:val="32"/>
          <w:lang w:val="en-US" w:eastAsia="zh-CN"/>
        </w:rPr>
        <w:t>39.07</w:t>
      </w:r>
      <w:r>
        <w:rPr>
          <w:rFonts w:hint="eastAsia" w:ascii="仿宋_GB2312" w:eastAsia="仿宋_GB2312" w:cs="仿宋_GB2312"/>
          <w:kern w:val="0"/>
          <w:sz w:val="32"/>
          <w:szCs w:val="32"/>
        </w:rPr>
        <w:t>万元，年初预算0万元，完成本年预算的100%。决算数大于预算数的主要原因是追加退休人员去世产生的抚恤金</w:t>
      </w:r>
      <w:r>
        <w:rPr>
          <w:rFonts w:hint="eastAsia" w:ascii="仿宋_GB2312" w:eastAsia="仿宋_GB2312" w:cs="仿宋_GB2312"/>
          <w:kern w:val="0"/>
          <w:sz w:val="32"/>
          <w:szCs w:val="32"/>
          <w:lang w:val="en-US" w:eastAsia="zh-CN"/>
        </w:rPr>
        <w:t>39.07</w:t>
      </w:r>
      <w:r>
        <w:rPr>
          <w:rFonts w:hint="eastAsia" w:ascii="仿宋_GB2312" w:eastAsia="仿宋_GB2312" w:cs="仿宋_GB2312"/>
          <w:kern w:val="0"/>
          <w:sz w:val="32"/>
          <w:szCs w:val="32"/>
        </w:rPr>
        <w:t>万元。主要用于退休人员的抚恤金支出。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w:t>
      </w:r>
      <w:r>
        <w:rPr>
          <w:rFonts w:hint="eastAsia" w:ascii="仿宋_GB2312" w:eastAsia="仿宋_GB2312" w:cs="仿宋_GB2312"/>
          <w:kern w:val="0"/>
          <w:sz w:val="32"/>
          <w:szCs w:val="32"/>
          <w:lang w:eastAsia="zh-CN"/>
        </w:rPr>
        <w:t>三</w:t>
      </w:r>
      <w:r>
        <w:rPr>
          <w:rFonts w:hint="eastAsia" w:ascii="仿宋_GB2312" w:eastAsia="仿宋_GB2312" w:cs="仿宋_GB2312"/>
          <w:kern w:val="0"/>
          <w:sz w:val="32"/>
          <w:szCs w:val="32"/>
        </w:rPr>
        <w:t>）其他对个人和家庭的补助</w:t>
      </w:r>
      <w:r>
        <w:rPr>
          <w:rFonts w:hint="eastAsia" w:ascii="仿宋_GB2312" w:eastAsia="仿宋_GB2312" w:cs="仿宋_GB2312"/>
          <w:kern w:val="0"/>
          <w:sz w:val="32"/>
          <w:szCs w:val="32"/>
          <w:lang w:val="en-US" w:eastAsia="zh-CN"/>
        </w:rPr>
        <w:t>4.13</w:t>
      </w:r>
      <w:r>
        <w:rPr>
          <w:rFonts w:hint="eastAsia" w:ascii="仿宋_GB2312" w:eastAsia="仿宋_GB2312" w:cs="仿宋_GB2312"/>
          <w:kern w:val="0"/>
          <w:sz w:val="32"/>
          <w:szCs w:val="32"/>
        </w:rPr>
        <w:t>万元，年初预算1.3万元。主要用于离退休人员的体检费支出。</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四、</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年度政府性基金支出决算情况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年度政府性基金支出</w:t>
      </w:r>
      <w:r>
        <w:rPr>
          <w:rFonts w:hint="eastAsia" w:ascii="仿宋_GB2312" w:eastAsia="仿宋_GB2312"/>
          <w:kern w:val="0"/>
          <w:sz w:val="32"/>
          <w:szCs w:val="32"/>
        </w:rPr>
        <w:t xml:space="preserve"> </w:t>
      </w:r>
      <w:r>
        <w:rPr>
          <w:rFonts w:hint="eastAsia" w:ascii="仿宋_GB2312" w:eastAsia="仿宋_GB2312" w:cs="仿宋_GB2312"/>
          <w:kern w:val="0"/>
          <w:sz w:val="32"/>
          <w:szCs w:val="32"/>
        </w:rPr>
        <w:t>0 万元，</w:t>
      </w:r>
      <w:r>
        <w:rPr>
          <w:rFonts w:hint="eastAsia" w:ascii="仿宋_GB2312" w:hAnsi="黑体" w:eastAsia="仿宋_GB2312" w:cs="仿宋_GB2312"/>
          <w:kern w:val="0"/>
          <w:sz w:val="32"/>
          <w:szCs w:val="32"/>
        </w:rPr>
        <w:t>较</w:t>
      </w:r>
      <w:r>
        <w:rPr>
          <w:rFonts w:hint="eastAsia" w:ascii="仿宋_GB2312" w:hAnsi="黑体" w:eastAsia="仿宋_GB2312" w:cs="仿宋_GB2312"/>
          <w:kern w:val="0"/>
          <w:sz w:val="32"/>
          <w:szCs w:val="32"/>
          <w:lang w:eastAsia="zh-CN"/>
        </w:rPr>
        <w:t>2021</w:t>
      </w:r>
      <w:r>
        <w:rPr>
          <w:rFonts w:hint="eastAsia" w:ascii="仿宋_GB2312" w:hAnsi="黑体" w:eastAsia="仿宋_GB2312" w:cs="仿宋_GB2312"/>
          <w:kern w:val="0"/>
          <w:sz w:val="32"/>
          <w:szCs w:val="32"/>
        </w:rPr>
        <w:t>年度决算数增加</w:t>
      </w:r>
      <w:r>
        <w:rPr>
          <w:rFonts w:hint="eastAsia" w:ascii="仿宋_GB2312" w:eastAsia="仿宋_GB2312" w:cs="仿宋_GB2312"/>
          <w:kern w:val="0"/>
          <w:sz w:val="32"/>
          <w:szCs w:val="32"/>
        </w:rPr>
        <w:t>0万元，增长</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0  %。其中：基本支出 0 万元，项目支出 0 万元。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hAnsi="黑体" w:eastAsia="仿宋_GB2312"/>
          <w:kern w:val="0"/>
          <w:sz w:val="32"/>
          <w:szCs w:val="32"/>
          <w:lang w:eastAsia="zh-CN"/>
        </w:rPr>
        <w:t>2022</w:t>
      </w:r>
      <w:r>
        <w:rPr>
          <w:rFonts w:hint="eastAsia" w:ascii="仿宋_GB2312" w:hAnsi="黑体" w:eastAsia="仿宋_GB2312" w:cs="仿宋_GB2312"/>
          <w:kern w:val="0"/>
          <w:sz w:val="32"/>
          <w:szCs w:val="32"/>
        </w:rPr>
        <w:t>年度政府性基金支出年初预算为 0 万元，支出决算为 0 万元，完成年初预算的 0 %。</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五、</w:t>
      </w:r>
      <w:r>
        <w:rPr>
          <w:rFonts w:hint="eastAsia" w:ascii="黑体" w:hAnsi="黑体" w:eastAsia="黑体" w:cs="仿宋_GB2312"/>
          <w:kern w:val="0"/>
          <w:sz w:val="32"/>
          <w:szCs w:val="32"/>
          <w:lang w:eastAsia="zh-CN"/>
        </w:rPr>
        <w:t>2022</w:t>
      </w:r>
      <w:r>
        <w:rPr>
          <w:rFonts w:hint="eastAsia" w:ascii="黑体" w:hAnsi="黑体" w:eastAsia="黑体" w:cs="仿宋_GB2312"/>
          <w:kern w:val="0"/>
          <w:sz w:val="32"/>
          <w:szCs w:val="32"/>
        </w:rPr>
        <w:t>年度国有资本经营预算支出决算情况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eastAsia="仿宋_GB2312"/>
          <w:kern w:val="0"/>
          <w:sz w:val="32"/>
          <w:szCs w:val="32"/>
          <w:lang w:eastAsia="zh-CN"/>
        </w:rPr>
        <w:t>2022</w:t>
      </w:r>
      <w:r>
        <w:rPr>
          <w:rFonts w:hint="eastAsia" w:ascii="仿宋_GB2312" w:eastAsia="仿宋_GB2312" w:cs="仿宋_GB2312"/>
          <w:kern w:val="0"/>
          <w:sz w:val="32"/>
          <w:szCs w:val="32"/>
        </w:rPr>
        <w:t>年度国有资本经营预算支出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r>
        <w:rPr>
          <w:rFonts w:hint="eastAsia" w:ascii="仿宋_GB2312" w:hAnsi="黑体" w:eastAsia="仿宋_GB2312" w:cs="仿宋_GB2312"/>
          <w:kern w:val="0"/>
          <w:sz w:val="32"/>
          <w:szCs w:val="32"/>
        </w:rPr>
        <w:t>。</w:t>
      </w:r>
      <w:r>
        <w:rPr>
          <w:rFonts w:hint="eastAsia" w:ascii="仿宋_GB2312" w:eastAsia="仿宋_GB2312" w:cs="仿宋_GB2312"/>
          <w:kern w:val="0"/>
          <w:sz w:val="32"/>
          <w:szCs w:val="32"/>
        </w:rPr>
        <w:t>其中：基本支出</w:t>
      </w:r>
      <w:r>
        <w:rPr>
          <w:rFonts w:hint="eastAsia" w:ascii="仿宋_GB2312" w:eastAsia="仿宋_GB2312"/>
          <w:kern w:val="0"/>
          <w:sz w:val="32"/>
          <w:szCs w:val="32"/>
        </w:rPr>
        <w:t>0</w:t>
      </w:r>
      <w:r>
        <w:rPr>
          <w:rFonts w:hint="eastAsia" w:ascii="仿宋_GB2312" w:eastAsia="仿宋_GB2312" w:cs="仿宋_GB2312"/>
          <w:kern w:val="0"/>
          <w:sz w:val="32"/>
          <w:szCs w:val="32"/>
        </w:rPr>
        <w:t>万元，项目支出</w:t>
      </w:r>
      <w:r>
        <w:rPr>
          <w:rFonts w:hint="eastAsia" w:ascii="仿宋_GB2312" w:eastAsia="仿宋_GB2312"/>
          <w:kern w:val="0"/>
          <w:sz w:val="32"/>
          <w:szCs w:val="32"/>
        </w:rPr>
        <w:t>0</w:t>
      </w:r>
      <w:r>
        <w:rPr>
          <w:rFonts w:hint="eastAsia" w:ascii="仿宋_GB2312" w:eastAsia="仿宋_GB2312" w:cs="仿宋_GB2312"/>
          <w:kern w:val="0"/>
          <w:sz w:val="32"/>
          <w:szCs w:val="32"/>
        </w:rPr>
        <w:t>万元。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hAnsi="黑体" w:eastAsia="仿宋_GB2312"/>
          <w:bCs/>
          <w:color w:val="000000"/>
          <w:sz w:val="32"/>
          <w:szCs w:val="32"/>
        </w:rPr>
        <w:t>广西绢麻纺织科学研究所有限公司</w:t>
      </w:r>
      <w:r>
        <w:rPr>
          <w:rFonts w:hint="eastAsia" w:ascii="仿宋_GB2312" w:hAnsi="黑体" w:eastAsia="仿宋_GB2312"/>
          <w:kern w:val="0"/>
          <w:sz w:val="32"/>
          <w:szCs w:val="32"/>
          <w:lang w:eastAsia="zh-CN"/>
        </w:rPr>
        <w:t>2022</w:t>
      </w:r>
      <w:r>
        <w:rPr>
          <w:rFonts w:hint="eastAsia" w:ascii="仿宋_GB2312" w:hAnsi="黑体" w:eastAsia="仿宋_GB2312" w:cs="仿宋_GB2312"/>
          <w:kern w:val="0"/>
          <w:sz w:val="32"/>
          <w:szCs w:val="32"/>
        </w:rPr>
        <w:t>年度</w:t>
      </w:r>
      <w:r>
        <w:rPr>
          <w:rFonts w:hint="eastAsia" w:ascii="仿宋_GB2312" w:eastAsia="仿宋_GB2312" w:cs="仿宋_GB2312"/>
          <w:kern w:val="0"/>
          <w:sz w:val="32"/>
          <w:szCs w:val="32"/>
        </w:rPr>
        <w:t>国有资本经营预算</w:t>
      </w:r>
      <w:r>
        <w:rPr>
          <w:rFonts w:hint="eastAsia" w:ascii="仿宋_GB2312" w:hAnsi="黑体" w:eastAsia="仿宋_GB2312" w:cs="仿宋_GB2312"/>
          <w:kern w:val="0"/>
          <w:sz w:val="32"/>
          <w:szCs w:val="32"/>
        </w:rPr>
        <w:t>支出年初预算为0万元，支出决算为0万元，完成年初预算的0%。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六、财政拨款安排的“三公”经费支出决算情况说明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绢麻所</w:t>
      </w:r>
      <w:r>
        <w:rPr>
          <w:rFonts w:hint="eastAsia" w:ascii="仿宋_GB2312" w:eastAsia="仿宋_GB2312" w:cs="仿宋_GB2312"/>
          <w:kern w:val="0"/>
          <w:sz w:val="32"/>
          <w:szCs w:val="32"/>
        </w:rPr>
        <w:t>无“三公”经费支出。</w:t>
      </w:r>
      <w:r>
        <w:rPr>
          <w:rFonts w:hint="eastAsia" w:ascii="仿宋_GB2312" w:eastAsia="仿宋_GB2312" w:cs="仿宋_GB2312"/>
          <w:kern w:val="0"/>
          <w:sz w:val="32"/>
          <w:szCs w:val="32"/>
          <w:lang w:eastAsia="zh-CN"/>
        </w:rPr>
        <w:t>绢麻所</w:t>
      </w:r>
      <w:r>
        <w:rPr>
          <w:rFonts w:hint="eastAsia" w:ascii="仿宋_GB2312" w:eastAsia="仿宋_GB2312" w:cs="仿宋_GB2312"/>
          <w:kern w:val="0"/>
          <w:sz w:val="32"/>
          <w:szCs w:val="32"/>
        </w:rPr>
        <w:t>为转制院所，仅编制老人老办法离退休人员补助经费，2022年一般公共预算安排的“三公”经费支出决算0万元，与上年持平。</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2022年度财政拨款安排的“三公”经费支出0万元，完成年初预算的0%，比2021年增加0万元。其中：因公出国（境）费支出决算0万元，公务用车购置及运行费支出决算0万元，公务接待费支出决算0万元。</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具体情况如下：</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一）因公出国（境）费支出0万元，完成年初预算的0%，比上年增减0万元，原因是我单位为转制院所，无经费支出。全年使用财政拨款安排0（厅、局、办）机关、0个所属单位出国团组0个，参加其他单位组织的出国团组0个，全年因公出国（境）团组共计0个，累计0人次。</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（二）公务用车购置及运行费支出0万元。其中：</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公务用车购置支出0万元，完成年初预算的0%，比上年增减0万元，原因是</w:t>
      </w:r>
      <w:r>
        <w:rPr>
          <w:rFonts w:hint="eastAsia" w:ascii="仿宋_GB2312" w:eastAsia="仿宋_GB2312" w:cs="仿宋_GB2312"/>
          <w:kern w:val="0"/>
          <w:sz w:val="32"/>
          <w:szCs w:val="32"/>
          <w:lang w:eastAsia="zh-CN"/>
        </w:rPr>
        <w:t>绢麻所</w:t>
      </w:r>
      <w:r>
        <w:rPr>
          <w:rFonts w:hint="eastAsia" w:ascii="仿宋_GB2312" w:eastAsia="仿宋_GB2312" w:cs="仿宋_GB2312"/>
          <w:kern w:val="0"/>
          <w:sz w:val="32"/>
          <w:szCs w:val="32"/>
        </w:rPr>
        <w:t>为转制院所，无经费支出。购置了0辆公务用车。公务用车运行支出0万元，完成年初预算的0%，比上年增减0万元，原因是</w:t>
      </w:r>
      <w:r>
        <w:rPr>
          <w:rFonts w:hint="eastAsia" w:ascii="仿宋_GB2312" w:eastAsia="仿宋_GB2312" w:cs="仿宋_GB2312"/>
          <w:kern w:val="0"/>
          <w:sz w:val="32"/>
          <w:szCs w:val="32"/>
          <w:lang w:eastAsia="zh-CN"/>
        </w:rPr>
        <w:t>绢麻所</w:t>
      </w:r>
      <w:r>
        <w:rPr>
          <w:rFonts w:hint="eastAsia" w:ascii="仿宋_GB2312" w:eastAsia="仿宋_GB2312" w:cs="仿宋_GB2312"/>
          <w:kern w:val="0"/>
          <w:sz w:val="32"/>
          <w:szCs w:val="32"/>
        </w:rPr>
        <w:t>为转制院所，无经费支出。主要用于机要文件交换、市内因公出行以及开展业务所需车辆燃料费、维修费、过路过桥费、保险费等。2022年，</w:t>
      </w:r>
      <w:r>
        <w:rPr>
          <w:rFonts w:hint="eastAsia" w:ascii="仿宋_GB2312" w:eastAsia="仿宋_GB2312" w:cs="仿宋_GB2312"/>
          <w:kern w:val="0"/>
          <w:sz w:val="32"/>
          <w:szCs w:val="32"/>
          <w:lang w:eastAsia="zh-CN"/>
        </w:rPr>
        <w:t>绢麻所</w:t>
      </w:r>
      <w:r>
        <w:rPr>
          <w:rFonts w:hint="eastAsia" w:ascii="仿宋_GB2312" w:eastAsia="仿宋_GB2312" w:cs="仿宋_GB2312"/>
          <w:kern w:val="0"/>
          <w:sz w:val="32"/>
          <w:szCs w:val="32"/>
        </w:rPr>
        <w:t>0个所属单位开支财政拨款的公务用车保有量为0辆，全年运行费支出0万元，平均每辆0万元。</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27" w:firstLineChars="196"/>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公务接待费支出0万元，完成年初预算的0%，比上年增减0万元，原因是</w:t>
      </w:r>
      <w:r>
        <w:rPr>
          <w:rFonts w:hint="eastAsia" w:ascii="仿宋_GB2312" w:eastAsia="仿宋_GB2312" w:cs="仿宋_GB2312"/>
          <w:kern w:val="0"/>
          <w:sz w:val="32"/>
          <w:szCs w:val="32"/>
          <w:lang w:eastAsia="zh-CN"/>
        </w:rPr>
        <w:t>绢麻所</w:t>
      </w:r>
      <w:r>
        <w:rPr>
          <w:rFonts w:hint="eastAsia" w:ascii="仿宋_GB2312" w:eastAsia="仿宋_GB2312" w:cs="仿宋_GB2312"/>
          <w:kern w:val="0"/>
          <w:sz w:val="32"/>
          <w:szCs w:val="32"/>
        </w:rPr>
        <w:t>为转制院所，无经费支出。国内公务接待批次0次，人次0次，国（境）外公务接待批次0次，人次0次。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七、其他重要事项情况说明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楷体_GB2312" w:eastAsia="楷体_GB2312" w:cs="仿宋_GB2312"/>
          <w:kern w:val="0"/>
          <w:sz w:val="32"/>
          <w:szCs w:val="32"/>
        </w:rPr>
      </w:pPr>
      <w:r>
        <w:rPr>
          <w:rFonts w:hint="eastAsia" w:ascii="楷体_GB2312" w:eastAsia="楷体_GB2312" w:cs="仿宋_GB2312"/>
          <w:kern w:val="0"/>
          <w:sz w:val="32"/>
          <w:szCs w:val="32"/>
        </w:rPr>
        <w:t>（一）</w:t>
      </w:r>
      <w:r>
        <w:rPr>
          <w:rFonts w:hint="eastAsia" w:ascii="楷体_GB2312" w:eastAsia="楷体_GB2312"/>
          <w:sz w:val="32"/>
          <w:szCs w:val="32"/>
        </w:rPr>
        <w:t xml:space="preserve"> </w:t>
      </w:r>
      <w:r>
        <w:rPr>
          <w:rFonts w:hint="eastAsia" w:ascii="楷体_GB2312" w:eastAsia="楷体_GB2312" w:cs="仿宋_GB2312"/>
          <w:kern w:val="0"/>
          <w:sz w:val="32"/>
          <w:szCs w:val="32"/>
        </w:rPr>
        <w:t>机关运行经费支出情况说明。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b/>
          <w:kern w:val="0"/>
          <w:sz w:val="32"/>
          <w:szCs w:val="32"/>
        </w:rPr>
      </w:pPr>
      <w:r>
        <w:rPr>
          <w:rFonts w:hint="eastAsia" w:ascii="仿宋_GB2312" w:eastAsia="仿宋_GB2312" w:cs="仿宋_GB2312"/>
          <w:kern w:val="0"/>
          <w:sz w:val="32"/>
          <w:szCs w:val="32"/>
        </w:rPr>
        <w:t>本部门无机关运行经费支出。本部门</w:t>
      </w:r>
      <w:r>
        <w:rPr>
          <w:rFonts w:hint="eastAsia" w:ascii="仿宋_GB2312" w:eastAsia="仿宋_GB2312" w:cs="仿宋_GB2312"/>
          <w:kern w:val="0"/>
          <w:sz w:val="32"/>
          <w:szCs w:val="32"/>
          <w:lang w:eastAsia="zh-CN"/>
        </w:rPr>
        <w:t>2022</w:t>
      </w:r>
      <w:r>
        <w:rPr>
          <w:rFonts w:hint="eastAsia" w:ascii="仿宋_GB2312" w:eastAsia="仿宋_GB2312" w:cs="仿宋_GB2312"/>
          <w:kern w:val="0"/>
          <w:sz w:val="32"/>
          <w:szCs w:val="32"/>
        </w:rPr>
        <w:t>年度机关运行经费支出 0 万元，比年初预算数增加0万元，增长0%。比</w:t>
      </w:r>
      <w:r>
        <w:rPr>
          <w:rFonts w:hint="eastAsia" w:ascii="仿宋_GB2312" w:eastAsia="仿宋_GB2312" w:cs="仿宋_GB2312"/>
          <w:kern w:val="0"/>
          <w:sz w:val="32"/>
          <w:szCs w:val="32"/>
          <w:lang w:eastAsia="zh-CN"/>
        </w:rPr>
        <w:t>2021</w:t>
      </w:r>
      <w:r>
        <w:rPr>
          <w:rFonts w:hint="eastAsia" w:ascii="仿宋_GB2312" w:eastAsia="仿宋_GB2312" w:cs="仿宋_GB2312"/>
          <w:kern w:val="0"/>
          <w:sz w:val="32"/>
          <w:szCs w:val="32"/>
        </w:rPr>
        <w:t>年增加</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0</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万元，增长0%。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楷体_GB2312" w:eastAsia="楷体_GB2312" w:cs="仿宋_GB2312"/>
          <w:kern w:val="0"/>
          <w:sz w:val="32"/>
          <w:szCs w:val="32"/>
        </w:rPr>
      </w:pPr>
      <w:r>
        <w:rPr>
          <w:rFonts w:hint="eastAsia" w:ascii="楷体_GB2312" w:eastAsia="楷体_GB2312" w:cs="仿宋_GB2312"/>
          <w:kern w:val="0"/>
          <w:sz w:val="32"/>
          <w:szCs w:val="32"/>
        </w:rPr>
        <w:t>（二）政府采购支出情况说明。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hAnsi="黑体" w:eastAsia="仿宋_GB2312"/>
          <w:bCs/>
          <w:sz w:val="32"/>
          <w:szCs w:val="32"/>
        </w:rPr>
        <w:t>本部门无政府采购支出。本部门</w:t>
      </w:r>
      <w:r>
        <w:rPr>
          <w:rFonts w:hint="eastAsia" w:ascii="仿宋_GB2312" w:hAnsi="黑体" w:eastAsia="仿宋_GB2312"/>
          <w:bCs/>
          <w:sz w:val="32"/>
          <w:szCs w:val="32"/>
          <w:lang w:eastAsia="zh-CN"/>
        </w:rPr>
        <w:t>2022</w:t>
      </w:r>
      <w:r>
        <w:rPr>
          <w:rFonts w:hint="eastAsia" w:ascii="仿宋_GB2312" w:hAnsi="黑体" w:eastAsia="仿宋_GB2312"/>
          <w:bCs/>
          <w:sz w:val="32"/>
          <w:szCs w:val="32"/>
        </w:rPr>
        <w:t>年度政府采购支出总额 0 万元，其中：政府采购货物支出 0 万元、政府采购工程支出 0 万元、政府采购服务支出 0 万元。授予中小企业合同金额 0  万元，占政府采购支出总额的 0 %，其中：授予小微企业合同金额</w:t>
      </w:r>
      <w:r>
        <w:rPr>
          <w:rFonts w:hint="eastAsia" w:ascii="仿宋_GB2312" w:hAnsi="黑体" w:eastAsia="仿宋_GB2312"/>
          <w:bCs/>
          <w:sz w:val="32"/>
          <w:szCs w:val="32"/>
          <w:lang w:val="en-US" w:eastAsia="zh-CN"/>
        </w:rPr>
        <w:t xml:space="preserve"> </w:t>
      </w:r>
      <w:r>
        <w:rPr>
          <w:rFonts w:hint="eastAsia" w:ascii="仿宋_GB2312" w:hAnsi="黑体" w:eastAsia="仿宋_GB2312"/>
          <w:bCs/>
          <w:sz w:val="32"/>
          <w:szCs w:val="32"/>
        </w:rPr>
        <w:t>0</w:t>
      </w:r>
      <w:r>
        <w:rPr>
          <w:rFonts w:hint="eastAsia" w:ascii="仿宋_GB2312" w:hAnsi="黑体" w:eastAsia="仿宋_GB2312"/>
          <w:bCs/>
          <w:sz w:val="32"/>
          <w:szCs w:val="32"/>
          <w:lang w:val="en-US" w:eastAsia="zh-CN"/>
        </w:rPr>
        <w:t xml:space="preserve"> </w:t>
      </w:r>
      <w:r>
        <w:rPr>
          <w:rFonts w:hint="eastAsia" w:ascii="仿宋_GB2312" w:hAnsi="黑体" w:eastAsia="仿宋_GB2312"/>
          <w:bCs/>
          <w:sz w:val="32"/>
          <w:szCs w:val="32"/>
        </w:rPr>
        <w:t>万元，占政府采购支出总额的0 %。货物采购授予中小企业合同金额占货物支出</w:t>
      </w:r>
      <w:r>
        <w:rPr>
          <w:rFonts w:hint="eastAsia" w:ascii="仿宋_GB2312" w:hAnsi="黑体" w:eastAsia="仿宋_GB2312"/>
          <w:bCs/>
          <w:sz w:val="32"/>
          <w:szCs w:val="32"/>
          <w:lang w:eastAsia="zh-CN"/>
        </w:rPr>
        <w:t>金额</w:t>
      </w:r>
      <w:r>
        <w:rPr>
          <w:rFonts w:hint="eastAsia" w:ascii="仿宋_GB2312" w:hAnsi="黑体" w:eastAsia="仿宋_GB2312"/>
          <w:bCs/>
          <w:sz w:val="32"/>
          <w:szCs w:val="32"/>
        </w:rPr>
        <w:t>0%</w:t>
      </w:r>
      <w:r>
        <w:rPr>
          <w:rFonts w:hint="eastAsia" w:ascii="仿宋_GB2312" w:hAnsi="黑体" w:eastAsia="仿宋_GB2312"/>
          <w:bCs/>
          <w:sz w:val="32"/>
          <w:szCs w:val="32"/>
          <w:lang w:eastAsia="zh-CN"/>
        </w:rPr>
        <w:t>；</w:t>
      </w:r>
      <w:r>
        <w:rPr>
          <w:rFonts w:hint="eastAsia" w:ascii="仿宋_GB2312" w:hAnsi="黑体" w:eastAsia="仿宋_GB2312"/>
          <w:bCs/>
          <w:sz w:val="32"/>
          <w:szCs w:val="32"/>
        </w:rPr>
        <w:t>工程采购授予中小企业合同金额占工程支出金额的0%</w:t>
      </w:r>
      <w:r>
        <w:rPr>
          <w:rFonts w:hint="eastAsia" w:ascii="仿宋_GB2312" w:hAnsi="黑体" w:eastAsia="仿宋_GB2312"/>
          <w:bCs/>
          <w:sz w:val="32"/>
          <w:szCs w:val="32"/>
          <w:lang w:eastAsia="zh-CN"/>
        </w:rPr>
        <w:t>；</w:t>
      </w:r>
      <w:r>
        <w:rPr>
          <w:rFonts w:hint="eastAsia" w:ascii="仿宋_GB2312" w:hAnsi="黑体" w:eastAsia="仿宋_GB2312"/>
          <w:bCs/>
          <w:sz w:val="32"/>
          <w:szCs w:val="32"/>
        </w:rPr>
        <w:t>服务采购授予中小企业合同金额占服务支出金额的0%。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楷体_GB2312" w:eastAsia="楷体_GB2312" w:cs="仿宋_GB2312"/>
          <w:kern w:val="0"/>
          <w:sz w:val="32"/>
          <w:szCs w:val="32"/>
        </w:rPr>
      </w:pPr>
      <w:r>
        <w:rPr>
          <w:rFonts w:hint="eastAsia" w:ascii="楷体_GB2312" w:eastAsia="楷体_GB2312" w:cs="仿宋_GB2312"/>
          <w:kern w:val="0"/>
          <w:sz w:val="32"/>
          <w:szCs w:val="32"/>
        </w:rPr>
        <w:t>（三）国有资产占用情况说明。</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hAnsi="黑体" w:eastAsia="仿宋_GB2312"/>
          <w:bCs/>
          <w:color w:val="000000"/>
          <w:sz w:val="32"/>
          <w:szCs w:val="32"/>
        </w:rPr>
      </w:pPr>
      <w:r>
        <w:rPr>
          <w:rFonts w:hint="eastAsia" w:ascii="仿宋_GB2312" w:eastAsia="仿宋_GB2312" w:cs="仿宋_GB2312"/>
          <w:kern w:val="0"/>
          <w:sz w:val="32"/>
          <w:szCs w:val="32"/>
        </w:rPr>
        <w:t>本部</w:t>
      </w:r>
      <w:r>
        <w:rPr>
          <w:rFonts w:hint="eastAsia" w:ascii="仿宋" w:hAnsi="仿宋" w:eastAsia="仿宋" w:cs="仿宋"/>
          <w:kern w:val="0"/>
          <w:sz w:val="32"/>
          <w:szCs w:val="32"/>
        </w:rPr>
        <w:t>门无国有资产。截至</w:t>
      </w:r>
      <w:r>
        <w:rPr>
          <w:rFonts w:hint="eastAsia" w:ascii="仿宋" w:hAnsi="仿宋" w:eastAsia="仿宋" w:cs="仿宋"/>
          <w:kern w:val="0"/>
          <w:sz w:val="32"/>
          <w:szCs w:val="32"/>
          <w:lang w:eastAsia="zh-CN"/>
        </w:rPr>
        <w:t>2022</w:t>
      </w:r>
      <w:r>
        <w:rPr>
          <w:rFonts w:hint="eastAsia" w:ascii="仿宋" w:hAnsi="仿宋" w:eastAsia="仿宋" w:cs="仿宋"/>
          <w:kern w:val="0"/>
          <w:sz w:val="32"/>
          <w:szCs w:val="32"/>
        </w:rPr>
        <w:t>年12月31日，本部门共有车辆 0 辆，其中：</w:t>
      </w:r>
      <w:r>
        <w:rPr>
          <w:rFonts w:hint="eastAsia" w:ascii="仿宋_GB2312" w:eastAsia="仿宋_GB2312" w:cs="仿宋_GB2312"/>
          <w:kern w:val="0"/>
          <w:sz w:val="32"/>
          <w:szCs w:val="32"/>
        </w:rPr>
        <w:t>副部（省）级领导干部用车 0 辆、机要通信用车 0 辆、应急保障用车 0 辆、执法执勤用车 0 辆、特种专业技术用车0 辆、其他用车 0 辆；单位价值50万元以上通用设备 0 台（套）；单位价值100万元以上专用设备 0 台（套）。</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黑体" w:hAnsi="黑体" w:eastAsia="黑体" w:cs="仿宋_GB2312"/>
          <w:kern w:val="0"/>
          <w:sz w:val="32"/>
          <w:szCs w:val="32"/>
        </w:rPr>
      </w:pPr>
      <w:r>
        <w:rPr>
          <w:rFonts w:hint="eastAsia" w:ascii="黑体" w:hAnsi="黑体" w:eastAsia="黑体" w:cs="仿宋_GB2312"/>
          <w:kern w:val="0"/>
          <w:sz w:val="32"/>
          <w:szCs w:val="32"/>
        </w:rPr>
        <w:t>八、预算绩效管理工作开展情况。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ascii="仿宋_GB2312" w:eastAsia="仿宋_GB2312" w:cs="仿宋_GB2312"/>
          <w:kern w:val="0"/>
          <w:sz w:val="32"/>
          <w:szCs w:val="32"/>
        </w:rPr>
      </w:pPr>
      <w:r>
        <w:rPr>
          <w:rFonts w:hint="eastAsia" w:ascii="仿宋_GB2312" w:eastAsia="仿宋_GB2312" w:cs="仿宋_GB2312"/>
          <w:kern w:val="0"/>
          <w:sz w:val="32"/>
          <w:szCs w:val="32"/>
        </w:rPr>
        <w:t>1.绩效管理工作开展情况。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根据财政预算绩效管理要求</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我部门组织对2022年度</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个一般公共预算项目支出开展绩效自评，共涉及资金</w:t>
      </w:r>
      <w:r>
        <w:rPr>
          <w:rFonts w:hint="eastAsia" w:ascii="仿宋_GB2312" w:eastAsia="仿宋_GB2312" w:cs="仿宋_GB2312"/>
          <w:kern w:val="0"/>
          <w:sz w:val="32"/>
          <w:szCs w:val="32"/>
          <w:lang w:val="en-US" w:eastAsia="zh-CN"/>
        </w:rPr>
        <w:t>39.07</w:t>
      </w:r>
      <w:r>
        <w:rPr>
          <w:rFonts w:hint="eastAsia" w:ascii="仿宋_GB2312" w:eastAsia="仿宋_GB2312" w:cs="仿宋_GB2312"/>
          <w:kern w:val="0"/>
          <w:sz w:val="32"/>
          <w:szCs w:val="32"/>
        </w:rPr>
        <w:t>万元，占一般公共预算项目支出总额的</w:t>
      </w:r>
      <w:r>
        <w:rPr>
          <w:rFonts w:hint="eastAsia" w:ascii="仿宋_GB2312" w:eastAsia="仿宋_GB2312" w:cs="仿宋_GB2312"/>
          <w:kern w:val="0"/>
          <w:sz w:val="32"/>
          <w:szCs w:val="32"/>
          <w:lang w:val="en-US" w:eastAsia="zh-CN"/>
        </w:rPr>
        <w:t>22.83</w:t>
      </w:r>
      <w:r>
        <w:rPr>
          <w:rFonts w:hint="eastAsia" w:ascii="仿宋_GB2312" w:eastAsia="仿宋_GB2312" w:cs="仿宋_GB2312"/>
          <w:kern w:val="0"/>
          <w:sz w:val="32"/>
          <w:szCs w:val="32"/>
        </w:rPr>
        <w:t>%。组织对2022年度0个政府性基金预算项目支出开展绩效自评，共涉及资金0万元，占政府性基金预算项目支出总额的0%。组织对2022年度个国有资本经营预算项目支出0个开展绩效自评，共涉及资金0万元，占国有资本经营预算项目支出总额的0%。2.本部门未开展部门决算绩效自评。</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rPr>
        <w:t>2.部门决算中项目绩效自评结果。</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项目绩效自评总体情况</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经我部门对照年初设定的绩效目标自评，</w:t>
      </w:r>
      <w:r>
        <w:rPr>
          <w:rFonts w:hint="eastAsia" w:ascii="仿宋_GB2312" w:eastAsia="仿宋_GB2312" w:cs="仿宋_GB2312"/>
          <w:kern w:val="0"/>
          <w:sz w:val="32"/>
          <w:szCs w:val="32"/>
          <w:lang w:val="en-US" w:eastAsia="zh-CN"/>
        </w:rPr>
        <w:t>1</w:t>
      </w:r>
      <w:r>
        <w:rPr>
          <w:rFonts w:hint="eastAsia" w:ascii="仿宋_GB2312" w:eastAsia="仿宋_GB2312" w:cs="仿宋_GB2312"/>
          <w:kern w:val="0"/>
          <w:sz w:val="32"/>
          <w:szCs w:val="32"/>
        </w:rPr>
        <w:t>个项目评为一等，占项目总数比例</w:t>
      </w:r>
      <w:r>
        <w:rPr>
          <w:rFonts w:hint="eastAsia" w:ascii="仿宋_GB2312" w:eastAsia="仿宋_GB2312" w:cs="仿宋_GB2312"/>
          <w:kern w:val="0"/>
          <w:sz w:val="32"/>
          <w:szCs w:val="32"/>
          <w:lang w:val="en-US" w:eastAsia="zh-CN"/>
        </w:rPr>
        <w:t>11.11</w:t>
      </w:r>
      <w:r>
        <w:rPr>
          <w:rFonts w:hint="eastAsia" w:ascii="仿宋_GB2312" w:eastAsia="仿宋_GB2312" w:cs="仿宋_GB2312"/>
          <w:kern w:val="0"/>
          <w:sz w:val="32"/>
          <w:szCs w:val="32"/>
        </w:rPr>
        <w:t>%;0个项目评为二等，占项目总数比例0%</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个项目评为三等，占项目总数比例0%</w:t>
      </w: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rPr>
        <w:t>个项目评为四等，占项目总数比例0%。</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textAlignment w:val="auto"/>
        <w:rPr>
          <w:rFonts w:hint="eastAsia" w:ascii="仿宋_GB2312" w:eastAsia="仿宋_GB2312" w:cs="仿宋_GB2312"/>
          <w:b/>
          <w:kern w:val="0"/>
          <w:sz w:val="32"/>
          <w:szCs w:val="32"/>
          <w:lang w:eastAsia="zh-CN"/>
        </w:rPr>
      </w:pPr>
      <w:r>
        <w:rPr>
          <w:rFonts w:hint="eastAsia" w:ascii="仿宋_GB2312" w:eastAsia="仿宋_GB2312" w:cs="仿宋_GB2312"/>
          <w:kern w:val="0"/>
          <w:sz w:val="32"/>
          <w:szCs w:val="32"/>
          <w:lang w:eastAsia="zh-CN"/>
        </w:rPr>
        <w:t>（</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lang w:eastAsia="zh-CN"/>
        </w:rPr>
        <w:t>）部分重点项目绩效自评情况：根据年初设定的绩效目标，死亡抚恤金追加项目自评得分为100分，一等。项目全年预算数为</w:t>
      </w:r>
      <w:r>
        <w:rPr>
          <w:rFonts w:hint="eastAsia" w:ascii="仿宋_GB2312" w:eastAsia="仿宋_GB2312" w:cs="仿宋_GB2312"/>
          <w:kern w:val="0"/>
          <w:sz w:val="32"/>
          <w:szCs w:val="32"/>
          <w:lang w:val="en-US" w:eastAsia="zh-CN"/>
        </w:rPr>
        <w:t>39.07</w:t>
      </w:r>
      <w:r>
        <w:rPr>
          <w:rFonts w:hint="eastAsia" w:ascii="仿宋_GB2312" w:eastAsia="仿宋_GB2312" w:cs="仿宋_GB2312"/>
          <w:kern w:val="0"/>
          <w:sz w:val="32"/>
          <w:szCs w:val="32"/>
          <w:lang w:eastAsia="zh-CN"/>
        </w:rPr>
        <w:t>万元，执行数为</w:t>
      </w:r>
      <w:r>
        <w:rPr>
          <w:rFonts w:hint="eastAsia" w:ascii="仿宋_GB2312" w:eastAsia="仿宋_GB2312" w:cs="仿宋_GB2312"/>
          <w:kern w:val="0"/>
          <w:sz w:val="32"/>
          <w:szCs w:val="32"/>
          <w:lang w:val="en-US" w:eastAsia="zh-CN"/>
        </w:rPr>
        <w:t>39.07</w:t>
      </w:r>
      <w:r>
        <w:rPr>
          <w:rFonts w:hint="eastAsia" w:ascii="仿宋_GB2312" w:eastAsia="仿宋_GB2312" w:cs="仿宋_GB2312"/>
          <w:kern w:val="0"/>
          <w:sz w:val="32"/>
          <w:szCs w:val="32"/>
          <w:lang w:eastAsia="zh-CN"/>
        </w:rPr>
        <w:t>万元，完成预算的100%。项目绩效目标完成情况：一是项目实施进度：我单位在项目经费下达后一个月内将一次性抚恤、丧葬费发放到位，保证了时效指标的发放及时性且发放精准率达到了100%；二是年度绩效目标为保障行政事业单位人员、离退人员的利益，缓解抚恤对象的经济困难，进一步维护社会稳定。我单位按时发放，有效解决了死亡职工家属抚恤问题。</w:t>
      </w: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asci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asci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asci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textAlignment w:val="auto"/>
        <w:rPr>
          <w:rFonts w:ascii="仿宋_GB2312" w:eastAsia="仿宋_GB2312" w:cs="仿宋_GB2312"/>
          <w:b/>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ascii="黑体" w:hAnsi="黑体" w:eastAsia="黑体" w:cs="仿宋_GB2312"/>
          <w:kern w:val="0"/>
          <w:sz w:val="32"/>
          <w:szCs w:val="32"/>
        </w:rPr>
      </w:pPr>
      <w:r>
        <w:rPr>
          <w:rFonts w:hint="eastAsia" w:ascii="黑体" w:hAnsi="黑体" w:eastAsia="黑体" w:cs="仿宋_GB2312"/>
          <w:kern w:val="0"/>
          <w:sz w:val="32"/>
          <w:szCs w:val="32"/>
        </w:rPr>
        <w:t>第四部分  名词解释</w:t>
      </w:r>
    </w:p>
    <w:p>
      <w:pPr>
        <w:keepNext w:val="0"/>
        <w:keepLines w:val="0"/>
        <w:pageBreakBefore w:val="0"/>
        <w:widowControl w:val="0"/>
        <w:kinsoku/>
        <w:wordWrap/>
        <w:overflowPunct/>
        <w:topLinePunct w:val="0"/>
        <w:bidi w:val="0"/>
        <w:snapToGrid/>
        <w:spacing w:line="600" w:lineRule="exact"/>
        <w:ind w:firstLine="640"/>
        <w:textAlignment w:val="auto"/>
        <w:rPr>
          <w:rFonts w:ascii="仿宋_GB2312" w:eastAsia="仿宋_GB2312"/>
          <w:sz w:val="32"/>
          <w:szCs w:val="32"/>
        </w:rPr>
      </w:pPr>
      <w:r>
        <w:rPr>
          <w:rFonts w:hint="eastAsia" w:ascii="仿宋_GB2312" w:eastAsia="仿宋_GB2312"/>
          <w:sz w:val="32"/>
          <w:szCs w:val="32"/>
        </w:rPr>
        <w:t xml:space="preserve">一、财政拨款收入：指自治区财政部门当年拨付的资金。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二、事业收入：指事业单位开展专业业务活动及辅助活动所取得的收入。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三、经营收入：指事业单位在专业业务活动及其辅助活动之外开展非独立核算经营活动取得的收入。</w:t>
      </w:r>
    </w:p>
    <w:p>
      <w:pPr>
        <w:keepNext w:val="0"/>
        <w:keepLines w:val="0"/>
        <w:pageBreakBefore w:val="0"/>
        <w:widowControl w:val="0"/>
        <w:kinsoku/>
        <w:wordWrap/>
        <w:overflowPunct/>
        <w:topLinePunct w:val="0"/>
        <w:bidi w:val="0"/>
        <w:snapToGrid/>
        <w:spacing w:line="600" w:lineRule="exact"/>
        <w:ind w:firstLine="640"/>
        <w:textAlignment w:val="auto"/>
        <w:rPr>
          <w:rFonts w:ascii="仿宋_GB2312" w:eastAsia="仿宋_GB2312"/>
          <w:sz w:val="32"/>
          <w:szCs w:val="32"/>
        </w:rPr>
      </w:pPr>
      <w:r>
        <w:rPr>
          <w:rFonts w:hint="eastAsia" w:ascii="仿宋_GB2312" w:eastAsia="仿宋_GB2312"/>
          <w:sz w:val="32"/>
          <w:szCs w:val="32"/>
        </w:rPr>
        <w:t>四、其他收入：指除上述“财政拨款收入”“事业收入”“经营收入”等以外的收入。</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五、用事业基金弥补收支差额指事业单位在当年的“财政拨款收入”“事业收入”“经营收入”“其他收入”不足以安排当年支出的情况下，使用非财政拨款结余弥补本年度收支缺口的资金。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六、年初结转和结余：指以前年度尚未完成、结转到本年 按有关规定继续使用的资金。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七、结余分配：指事业单位按规定提取的职工福利基金、事业基金和缴纳的所得税，以及建设单位按规定应交回的基本建设竣工项目结余资金。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八、年末结转和结余：指本年度或以前年度预算安排、因客观条件发生变化无法按原计划实施，需要延迟到以后年度按有关规定继续使用的资金。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九、基本支出：指为保障机构正常运转、完成日常工作任务而发生的人员支出和公用支出。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十、项目支出：指在基本支出之外为完成特定行政任务和事业发展目标所发生的支出。 </w:t>
      </w:r>
    </w:p>
    <w:p>
      <w:pPr>
        <w:keepNext w:val="0"/>
        <w:keepLines w:val="0"/>
        <w:pageBreakBefore w:val="0"/>
        <w:widowControl w:val="0"/>
        <w:kinsoku/>
        <w:wordWrap/>
        <w:overflowPunct/>
        <w:topLinePunct w:val="0"/>
        <w:bidi w:val="0"/>
        <w:snapToGrid/>
        <w:spacing w:line="600" w:lineRule="exact"/>
        <w:ind w:firstLine="640"/>
        <w:textAlignment w:val="auto"/>
        <w:rPr>
          <w:rFonts w:ascii="仿宋_GB2312" w:eastAsia="仿宋_GB2312"/>
          <w:sz w:val="32"/>
          <w:szCs w:val="32"/>
        </w:rPr>
      </w:pPr>
      <w:r>
        <w:rPr>
          <w:rFonts w:hint="eastAsia" w:ascii="仿宋_GB2312" w:eastAsia="仿宋_GB2312"/>
          <w:sz w:val="32"/>
          <w:szCs w:val="32"/>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十二、“三公”经费：纳入自治区财政预决算管理的“三公”经费，是指自治区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keepNext w:val="0"/>
        <w:keepLines w:val="0"/>
        <w:pageBreakBefore w:val="0"/>
        <w:widowControl w:val="0"/>
        <w:kinsoku/>
        <w:wordWrap/>
        <w:overflowPunct/>
        <w:topLinePunct w:val="0"/>
        <w:bidi w:val="0"/>
        <w:snapToGrid/>
        <w:spacing w:line="600" w:lineRule="exact"/>
        <w:ind w:firstLine="640" w:firstLineChars="200"/>
        <w:textAlignment w:val="auto"/>
        <w:rPr>
          <w:rFonts w:ascii="黑体" w:hAnsi="黑体" w:eastAsia="黑体" w:cs="仿宋_GB2312"/>
          <w:kern w:val="0"/>
          <w:sz w:val="32"/>
          <w:szCs w:val="32"/>
        </w:rPr>
      </w:pPr>
      <w:r>
        <w:rPr>
          <w:rFonts w:hint="eastAsia" w:ascii="仿宋_GB2312"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3" w:type="default"/>
      <w:footerReference r:id="rId5" w:type="default"/>
      <w:headerReference r:id="rId4" w:type="even"/>
      <w:footerReference r:id="rId6" w:type="even"/>
      <w:pgSz w:w="11906" w:h="16838"/>
      <w:pgMar w:top="1440" w:right="1797" w:bottom="1440" w:left="1797" w:header="851" w:footer="992" w:gutter="0"/>
      <w:pgNumType w:fmt="numberInDash"/>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ArialUnicodeMS">
    <w:altName w:val="宋体"/>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posOffset>4786630</wp:posOffset>
              </wp:positionH>
              <wp:positionV relativeFrom="paragraph">
                <wp:posOffset>0</wp:posOffset>
              </wp:positionV>
              <wp:extent cx="49149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9149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6.9pt;margin-top:0pt;height:144pt;width:38.7pt;mso-position-horizontal-relative:margin;z-index:251661312;mso-width-relative:page;mso-height-relative:page;" filled="f" stroked="f" coordsize="21600,21600" o:gfxdata="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L37xp1gAAAAgBAAAPAAAAAAAAAAEAIAAAACIAAABkcnMvZG93bnJl&#10;di54bWxQSwECFAAUAAAACACHTuJAV7HxtjgCAABiBAAADgAAAAAAAAABACAAAAAlAQAAZHJzL2Uy&#10;b0RvYy54bWxQSwUGAAAAAAYABgBZAQAAzw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- 1 -</w:t>
                    </w:r>
                    <w:r>
                      <w:rPr>
                        <w:rFonts w:hint="eastAsia" w:ascii="仿宋_GB2312" w:hAnsi="仿宋_GB2312" w:eastAsia="仿宋_GB2312" w:cs="仿宋_GB2312"/>
                        <w:sz w:val="30"/>
                        <w:szCs w:val="30"/>
                      </w:rPr>
                      <w:fldChar w:fldCharType="end"/>
                    </w: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right="280"/>
                            <w:jc w:val="both"/>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ind w:right="280"/>
                      <w:jc w:val="both"/>
                    </w:pP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20" w:firstLineChars="150"/>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- 2 -</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- 2 -</w:t>
                    </w:r>
                    <w:r>
                      <w:rPr>
                        <w:rFonts w:hint="eastAsia" w:ascii="仿宋_GB2312" w:hAnsi="仿宋_GB2312" w:eastAsia="仿宋_GB2312" w:cs="仿宋_GB2312"/>
                        <w:sz w:val="30"/>
                        <w:szCs w:val="30"/>
                      </w:rPr>
                      <w:fldChar w:fldCharType="end"/>
                    </w: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F07AEA"/>
    <w:multiLevelType w:val="singleLevel"/>
    <w:tmpl w:val="E1F07AEA"/>
    <w:lvl w:ilvl="0" w:tentative="0">
      <w:start w:val="3"/>
      <w:numFmt w:val="chineseCounting"/>
      <w:suff w:val="nothing"/>
      <w:lvlText w:val="（%1）"/>
      <w:lvlJc w:val="left"/>
      <w:rPr>
        <w:rFonts w:hint="eastAsia"/>
      </w:rPr>
    </w:lvl>
  </w:abstractNum>
  <w:abstractNum w:abstractNumId="1">
    <w:nsid w:val="51B5EA48"/>
    <w:multiLevelType w:val="singleLevel"/>
    <w:tmpl w:val="51B5EA48"/>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zOTk1MThkYzRmZjRjNzNkNDI1Y2MxNzYyOGU5MGIifQ=="/>
  </w:docVars>
  <w:rsids>
    <w:rsidRoot w:val="0044603A"/>
    <w:rsid w:val="00000C19"/>
    <w:rsid w:val="000025D7"/>
    <w:rsid w:val="000029C9"/>
    <w:rsid w:val="000103DA"/>
    <w:rsid w:val="00011970"/>
    <w:rsid w:val="00012A72"/>
    <w:rsid w:val="000132BE"/>
    <w:rsid w:val="0001353E"/>
    <w:rsid w:val="00014B7F"/>
    <w:rsid w:val="000157A9"/>
    <w:rsid w:val="00017F54"/>
    <w:rsid w:val="000206F8"/>
    <w:rsid w:val="0002142A"/>
    <w:rsid w:val="000222ED"/>
    <w:rsid w:val="000275C8"/>
    <w:rsid w:val="00030D95"/>
    <w:rsid w:val="00032D5F"/>
    <w:rsid w:val="000373C3"/>
    <w:rsid w:val="0004145E"/>
    <w:rsid w:val="000441F7"/>
    <w:rsid w:val="00046498"/>
    <w:rsid w:val="0004689D"/>
    <w:rsid w:val="00050F20"/>
    <w:rsid w:val="000534BF"/>
    <w:rsid w:val="00053DFF"/>
    <w:rsid w:val="000624C1"/>
    <w:rsid w:val="00062651"/>
    <w:rsid w:val="00075941"/>
    <w:rsid w:val="000772EB"/>
    <w:rsid w:val="0008469B"/>
    <w:rsid w:val="00084D65"/>
    <w:rsid w:val="00084D7B"/>
    <w:rsid w:val="000855C8"/>
    <w:rsid w:val="00086800"/>
    <w:rsid w:val="00087056"/>
    <w:rsid w:val="00090B5D"/>
    <w:rsid w:val="000910E5"/>
    <w:rsid w:val="0009172A"/>
    <w:rsid w:val="00091768"/>
    <w:rsid w:val="00094416"/>
    <w:rsid w:val="00094BD1"/>
    <w:rsid w:val="0009684C"/>
    <w:rsid w:val="00096F23"/>
    <w:rsid w:val="0009722B"/>
    <w:rsid w:val="000A2AB8"/>
    <w:rsid w:val="000A6054"/>
    <w:rsid w:val="000A6C6F"/>
    <w:rsid w:val="000B28CB"/>
    <w:rsid w:val="000B3150"/>
    <w:rsid w:val="000B4991"/>
    <w:rsid w:val="000B50F0"/>
    <w:rsid w:val="000B6ADF"/>
    <w:rsid w:val="000C0E3B"/>
    <w:rsid w:val="000C5BEC"/>
    <w:rsid w:val="000C63B9"/>
    <w:rsid w:val="000C6D5F"/>
    <w:rsid w:val="000C6FCB"/>
    <w:rsid w:val="000D23D3"/>
    <w:rsid w:val="000D2E1E"/>
    <w:rsid w:val="000D3F04"/>
    <w:rsid w:val="000D4FEF"/>
    <w:rsid w:val="000D59C5"/>
    <w:rsid w:val="000E0EF2"/>
    <w:rsid w:val="000E46F0"/>
    <w:rsid w:val="000E5229"/>
    <w:rsid w:val="000F1C31"/>
    <w:rsid w:val="000F2407"/>
    <w:rsid w:val="000F2C94"/>
    <w:rsid w:val="000F6708"/>
    <w:rsid w:val="000F7869"/>
    <w:rsid w:val="0010068C"/>
    <w:rsid w:val="00100FAF"/>
    <w:rsid w:val="00102D27"/>
    <w:rsid w:val="00103347"/>
    <w:rsid w:val="0010639B"/>
    <w:rsid w:val="00107921"/>
    <w:rsid w:val="001112C5"/>
    <w:rsid w:val="00112FD8"/>
    <w:rsid w:val="001142CD"/>
    <w:rsid w:val="0011491B"/>
    <w:rsid w:val="00116EA1"/>
    <w:rsid w:val="00122319"/>
    <w:rsid w:val="00123033"/>
    <w:rsid w:val="00124337"/>
    <w:rsid w:val="00124374"/>
    <w:rsid w:val="00124696"/>
    <w:rsid w:val="00127C35"/>
    <w:rsid w:val="00131E61"/>
    <w:rsid w:val="00134300"/>
    <w:rsid w:val="0014054D"/>
    <w:rsid w:val="00140B11"/>
    <w:rsid w:val="00143E79"/>
    <w:rsid w:val="001452D0"/>
    <w:rsid w:val="00146528"/>
    <w:rsid w:val="00146943"/>
    <w:rsid w:val="00146A23"/>
    <w:rsid w:val="00152434"/>
    <w:rsid w:val="00154352"/>
    <w:rsid w:val="00154359"/>
    <w:rsid w:val="00155313"/>
    <w:rsid w:val="00160A4D"/>
    <w:rsid w:val="00170279"/>
    <w:rsid w:val="001718C7"/>
    <w:rsid w:val="0017498B"/>
    <w:rsid w:val="001847E1"/>
    <w:rsid w:val="00184C71"/>
    <w:rsid w:val="00184D07"/>
    <w:rsid w:val="00185888"/>
    <w:rsid w:val="00186585"/>
    <w:rsid w:val="001865E7"/>
    <w:rsid w:val="0018764F"/>
    <w:rsid w:val="00191280"/>
    <w:rsid w:val="00194E59"/>
    <w:rsid w:val="00196A9B"/>
    <w:rsid w:val="001A0C25"/>
    <w:rsid w:val="001A1448"/>
    <w:rsid w:val="001A6FD4"/>
    <w:rsid w:val="001A7D11"/>
    <w:rsid w:val="001B0307"/>
    <w:rsid w:val="001B166A"/>
    <w:rsid w:val="001B4B53"/>
    <w:rsid w:val="001B5D25"/>
    <w:rsid w:val="001C104A"/>
    <w:rsid w:val="001C5055"/>
    <w:rsid w:val="001D0189"/>
    <w:rsid w:val="001D3D99"/>
    <w:rsid w:val="001D41AB"/>
    <w:rsid w:val="001D676E"/>
    <w:rsid w:val="001D6B9B"/>
    <w:rsid w:val="001E1E8E"/>
    <w:rsid w:val="001E263B"/>
    <w:rsid w:val="001E5C0E"/>
    <w:rsid w:val="001F5DC2"/>
    <w:rsid w:val="002018A2"/>
    <w:rsid w:val="0020576C"/>
    <w:rsid w:val="00206664"/>
    <w:rsid w:val="00207EAA"/>
    <w:rsid w:val="002109FE"/>
    <w:rsid w:val="00215D56"/>
    <w:rsid w:val="002160E7"/>
    <w:rsid w:val="002208D1"/>
    <w:rsid w:val="00220F16"/>
    <w:rsid w:val="00221229"/>
    <w:rsid w:val="00222800"/>
    <w:rsid w:val="00224936"/>
    <w:rsid w:val="00226542"/>
    <w:rsid w:val="0023172A"/>
    <w:rsid w:val="00232489"/>
    <w:rsid w:val="00237501"/>
    <w:rsid w:val="00237B04"/>
    <w:rsid w:val="00237B7A"/>
    <w:rsid w:val="00240535"/>
    <w:rsid w:val="00240953"/>
    <w:rsid w:val="002416AE"/>
    <w:rsid w:val="00241DEE"/>
    <w:rsid w:val="0024429E"/>
    <w:rsid w:val="00246C1D"/>
    <w:rsid w:val="00250261"/>
    <w:rsid w:val="002504E7"/>
    <w:rsid w:val="00251274"/>
    <w:rsid w:val="002514D7"/>
    <w:rsid w:val="0025158F"/>
    <w:rsid w:val="00251F64"/>
    <w:rsid w:val="00251FA3"/>
    <w:rsid w:val="00253683"/>
    <w:rsid w:val="0025461A"/>
    <w:rsid w:val="00256EEC"/>
    <w:rsid w:val="002603EE"/>
    <w:rsid w:val="0026094C"/>
    <w:rsid w:val="00260D24"/>
    <w:rsid w:val="002633F3"/>
    <w:rsid w:val="00266617"/>
    <w:rsid w:val="002675C3"/>
    <w:rsid w:val="00267C5B"/>
    <w:rsid w:val="00267CC9"/>
    <w:rsid w:val="00274E01"/>
    <w:rsid w:val="002752E2"/>
    <w:rsid w:val="002803AA"/>
    <w:rsid w:val="002804E0"/>
    <w:rsid w:val="00291736"/>
    <w:rsid w:val="002954D5"/>
    <w:rsid w:val="002A02D0"/>
    <w:rsid w:val="002A368F"/>
    <w:rsid w:val="002A3928"/>
    <w:rsid w:val="002A3E37"/>
    <w:rsid w:val="002A555C"/>
    <w:rsid w:val="002A6A9A"/>
    <w:rsid w:val="002B1412"/>
    <w:rsid w:val="002B2E03"/>
    <w:rsid w:val="002B6EA5"/>
    <w:rsid w:val="002C0E9F"/>
    <w:rsid w:val="002C281F"/>
    <w:rsid w:val="002C5A6A"/>
    <w:rsid w:val="002D4A30"/>
    <w:rsid w:val="002E03AA"/>
    <w:rsid w:val="002E3BED"/>
    <w:rsid w:val="002E7A82"/>
    <w:rsid w:val="002E7AB3"/>
    <w:rsid w:val="002F3061"/>
    <w:rsid w:val="002F3CF8"/>
    <w:rsid w:val="002F497A"/>
    <w:rsid w:val="002F7B1D"/>
    <w:rsid w:val="00300BB4"/>
    <w:rsid w:val="00300FD9"/>
    <w:rsid w:val="00301C94"/>
    <w:rsid w:val="00306668"/>
    <w:rsid w:val="003103DF"/>
    <w:rsid w:val="00311100"/>
    <w:rsid w:val="00311ABD"/>
    <w:rsid w:val="003122D0"/>
    <w:rsid w:val="003127B5"/>
    <w:rsid w:val="003130DD"/>
    <w:rsid w:val="0031372E"/>
    <w:rsid w:val="00315574"/>
    <w:rsid w:val="00320B55"/>
    <w:rsid w:val="003232EB"/>
    <w:rsid w:val="00323399"/>
    <w:rsid w:val="0032366E"/>
    <w:rsid w:val="00323731"/>
    <w:rsid w:val="00326265"/>
    <w:rsid w:val="00332392"/>
    <w:rsid w:val="0033707D"/>
    <w:rsid w:val="00337891"/>
    <w:rsid w:val="00341BFA"/>
    <w:rsid w:val="0034272A"/>
    <w:rsid w:val="003447DA"/>
    <w:rsid w:val="0034512A"/>
    <w:rsid w:val="00346FB4"/>
    <w:rsid w:val="003557F0"/>
    <w:rsid w:val="0036023B"/>
    <w:rsid w:val="00360F0D"/>
    <w:rsid w:val="00361A06"/>
    <w:rsid w:val="00362E12"/>
    <w:rsid w:val="00363267"/>
    <w:rsid w:val="0036427C"/>
    <w:rsid w:val="00364511"/>
    <w:rsid w:val="00365C50"/>
    <w:rsid w:val="003662F0"/>
    <w:rsid w:val="00367236"/>
    <w:rsid w:val="00370055"/>
    <w:rsid w:val="003706FD"/>
    <w:rsid w:val="00370E78"/>
    <w:rsid w:val="00370F52"/>
    <w:rsid w:val="003720EC"/>
    <w:rsid w:val="0037296A"/>
    <w:rsid w:val="00372DDA"/>
    <w:rsid w:val="00373228"/>
    <w:rsid w:val="003733D5"/>
    <w:rsid w:val="00375904"/>
    <w:rsid w:val="00376419"/>
    <w:rsid w:val="0037657B"/>
    <w:rsid w:val="003813FB"/>
    <w:rsid w:val="00381DD6"/>
    <w:rsid w:val="003851D3"/>
    <w:rsid w:val="00386927"/>
    <w:rsid w:val="00390E35"/>
    <w:rsid w:val="0039174F"/>
    <w:rsid w:val="003925EC"/>
    <w:rsid w:val="003925FB"/>
    <w:rsid w:val="003929E5"/>
    <w:rsid w:val="00395A70"/>
    <w:rsid w:val="00396BF6"/>
    <w:rsid w:val="00397445"/>
    <w:rsid w:val="003A03A2"/>
    <w:rsid w:val="003A04DC"/>
    <w:rsid w:val="003A08D0"/>
    <w:rsid w:val="003A12A9"/>
    <w:rsid w:val="003A2C6C"/>
    <w:rsid w:val="003A447D"/>
    <w:rsid w:val="003A637E"/>
    <w:rsid w:val="003A69E7"/>
    <w:rsid w:val="003A6BD2"/>
    <w:rsid w:val="003A7E38"/>
    <w:rsid w:val="003B00AF"/>
    <w:rsid w:val="003B0F5F"/>
    <w:rsid w:val="003B3F82"/>
    <w:rsid w:val="003B45F8"/>
    <w:rsid w:val="003B5F91"/>
    <w:rsid w:val="003C26AA"/>
    <w:rsid w:val="003C291D"/>
    <w:rsid w:val="003C48C5"/>
    <w:rsid w:val="003C66E5"/>
    <w:rsid w:val="003D1E99"/>
    <w:rsid w:val="003D3A37"/>
    <w:rsid w:val="003D3CAA"/>
    <w:rsid w:val="003D4E96"/>
    <w:rsid w:val="003D527F"/>
    <w:rsid w:val="003D6F8F"/>
    <w:rsid w:val="003E183B"/>
    <w:rsid w:val="003E2626"/>
    <w:rsid w:val="003E39C8"/>
    <w:rsid w:val="003E39E1"/>
    <w:rsid w:val="003E4405"/>
    <w:rsid w:val="003E46F0"/>
    <w:rsid w:val="003E50BC"/>
    <w:rsid w:val="003E50FC"/>
    <w:rsid w:val="003E56AB"/>
    <w:rsid w:val="003F3DC3"/>
    <w:rsid w:val="003F6785"/>
    <w:rsid w:val="003F6E50"/>
    <w:rsid w:val="00401CB5"/>
    <w:rsid w:val="00403F6E"/>
    <w:rsid w:val="004109A2"/>
    <w:rsid w:val="004113DD"/>
    <w:rsid w:val="0041229B"/>
    <w:rsid w:val="0041459A"/>
    <w:rsid w:val="00417299"/>
    <w:rsid w:val="00417659"/>
    <w:rsid w:val="00420E37"/>
    <w:rsid w:val="00426330"/>
    <w:rsid w:val="00426EB7"/>
    <w:rsid w:val="00427CC4"/>
    <w:rsid w:val="004304AE"/>
    <w:rsid w:val="00430D18"/>
    <w:rsid w:val="004316FD"/>
    <w:rsid w:val="00435609"/>
    <w:rsid w:val="004357B3"/>
    <w:rsid w:val="00440293"/>
    <w:rsid w:val="00441648"/>
    <w:rsid w:val="00442330"/>
    <w:rsid w:val="00443145"/>
    <w:rsid w:val="00443541"/>
    <w:rsid w:val="00444696"/>
    <w:rsid w:val="0044603A"/>
    <w:rsid w:val="00446B3E"/>
    <w:rsid w:val="00447BF6"/>
    <w:rsid w:val="00452149"/>
    <w:rsid w:val="004522B4"/>
    <w:rsid w:val="004522C8"/>
    <w:rsid w:val="00453ED8"/>
    <w:rsid w:val="00454BC7"/>
    <w:rsid w:val="00456362"/>
    <w:rsid w:val="004625E8"/>
    <w:rsid w:val="00462EBD"/>
    <w:rsid w:val="0046358D"/>
    <w:rsid w:val="00465295"/>
    <w:rsid w:val="004672EC"/>
    <w:rsid w:val="00471611"/>
    <w:rsid w:val="00477A2E"/>
    <w:rsid w:val="00480B7A"/>
    <w:rsid w:val="004827C4"/>
    <w:rsid w:val="00484FAE"/>
    <w:rsid w:val="00485E6F"/>
    <w:rsid w:val="00491C5B"/>
    <w:rsid w:val="00491D25"/>
    <w:rsid w:val="00493E03"/>
    <w:rsid w:val="0049716A"/>
    <w:rsid w:val="004972EC"/>
    <w:rsid w:val="00497630"/>
    <w:rsid w:val="004A0B63"/>
    <w:rsid w:val="004A3BC5"/>
    <w:rsid w:val="004A449E"/>
    <w:rsid w:val="004A61C9"/>
    <w:rsid w:val="004A6F76"/>
    <w:rsid w:val="004B1F34"/>
    <w:rsid w:val="004B289F"/>
    <w:rsid w:val="004B35CE"/>
    <w:rsid w:val="004B3DE6"/>
    <w:rsid w:val="004B4DC4"/>
    <w:rsid w:val="004B5DC9"/>
    <w:rsid w:val="004B6E81"/>
    <w:rsid w:val="004B7A7F"/>
    <w:rsid w:val="004B7A9E"/>
    <w:rsid w:val="004C04CD"/>
    <w:rsid w:val="004C1A22"/>
    <w:rsid w:val="004C4FBF"/>
    <w:rsid w:val="004C6064"/>
    <w:rsid w:val="004D055F"/>
    <w:rsid w:val="004D5742"/>
    <w:rsid w:val="004E110C"/>
    <w:rsid w:val="004E1290"/>
    <w:rsid w:val="004E7C99"/>
    <w:rsid w:val="004F1C3E"/>
    <w:rsid w:val="004F349C"/>
    <w:rsid w:val="004F3E39"/>
    <w:rsid w:val="004F4F61"/>
    <w:rsid w:val="004F7674"/>
    <w:rsid w:val="004F7C61"/>
    <w:rsid w:val="00500122"/>
    <w:rsid w:val="00500DA6"/>
    <w:rsid w:val="00501090"/>
    <w:rsid w:val="00503EA9"/>
    <w:rsid w:val="00506308"/>
    <w:rsid w:val="00506B9A"/>
    <w:rsid w:val="00507786"/>
    <w:rsid w:val="00507C93"/>
    <w:rsid w:val="00514372"/>
    <w:rsid w:val="00521420"/>
    <w:rsid w:val="00522008"/>
    <w:rsid w:val="0052243C"/>
    <w:rsid w:val="00522B92"/>
    <w:rsid w:val="00523BBE"/>
    <w:rsid w:val="00523CDA"/>
    <w:rsid w:val="00524715"/>
    <w:rsid w:val="00526411"/>
    <w:rsid w:val="00531804"/>
    <w:rsid w:val="00531CBC"/>
    <w:rsid w:val="00540964"/>
    <w:rsid w:val="00543475"/>
    <w:rsid w:val="005457A3"/>
    <w:rsid w:val="00546759"/>
    <w:rsid w:val="00547061"/>
    <w:rsid w:val="00550503"/>
    <w:rsid w:val="00550B77"/>
    <w:rsid w:val="0055168C"/>
    <w:rsid w:val="00552861"/>
    <w:rsid w:val="005531C0"/>
    <w:rsid w:val="005632C9"/>
    <w:rsid w:val="00564A10"/>
    <w:rsid w:val="005658EF"/>
    <w:rsid w:val="00565E23"/>
    <w:rsid w:val="00570532"/>
    <w:rsid w:val="00570EC7"/>
    <w:rsid w:val="0057447A"/>
    <w:rsid w:val="00575BF2"/>
    <w:rsid w:val="00575D10"/>
    <w:rsid w:val="0057611D"/>
    <w:rsid w:val="00577A85"/>
    <w:rsid w:val="00581BAC"/>
    <w:rsid w:val="00581C25"/>
    <w:rsid w:val="00581EDE"/>
    <w:rsid w:val="005854E8"/>
    <w:rsid w:val="00590AD9"/>
    <w:rsid w:val="00592E5F"/>
    <w:rsid w:val="0059378D"/>
    <w:rsid w:val="00593DBF"/>
    <w:rsid w:val="005949F2"/>
    <w:rsid w:val="00596282"/>
    <w:rsid w:val="00597357"/>
    <w:rsid w:val="00597F5E"/>
    <w:rsid w:val="005A0856"/>
    <w:rsid w:val="005A12C2"/>
    <w:rsid w:val="005A52FA"/>
    <w:rsid w:val="005A5EE0"/>
    <w:rsid w:val="005A5FFF"/>
    <w:rsid w:val="005A6470"/>
    <w:rsid w:val="005B2A50"/>
    <w:rsid w:val="005B3181"/>
    <w:rsid w:val="005B3A4E"/>
    <w:rsid w:val="005B6953"/>
    <w:rsid w:val="005C2BB0"/>
    <w:rsid w:val="005C76A1"/>
    <w:rsid w:val="005C7829"/>
    <w:rsid w:val="005D0A2C"/>
    <w:rsid w:val="005D5516"/>
    <w:rsid w:val="005D6B9C"/>
    <w:rsid w:val="005D7580"/>
    <w:rsid w:val="005E1010"/>
    <w:rsid w:val="005E26E1"/>
    <w:rsid w:val="005E3D3A"/>
    <w:rsid w:val="005E5A8E"/>
    <w:rsid w:val="005E6D82"/>
    <w:rsid w:val="005F01E6"/>
    <w:rsid w:val="005F0A65"/>
    <w:rsid w:val="005F0F32"/>
    <w:rsid w:val="005F4A57"/>
    <w:rsid w:val="005F6265"/>
    <w:rsid w:val="005F6BF4"/>
    <w:rsid w:val="00601671"/>
    <w:rsid w:val="00602CE4"/>
    <w:rsid w:val="00605CAA"/>
    <w:rsid w:val="006070EA"/>
    <w:rsid w:val="00614F8D"/>
    <w:rsid w:val="0061500F"/>
    <w:rsid w:val="0061640E"/>
    <w:rsid w:val="0062137B"/>
    <w:rsid w:val="0062163E"/>
    <w:rsid w:val="00624986"/>
    <w:rsid w:val="00625F0E"/>
    <w:rsid w:val="006270F9"/>
    <w:rsid w:val="00632761"/>
    <w:rsid w:val="00634652"/>
    <w:rsid w:val="006356AA"/>
    <w:rsid w:val="00635CE7"/>
    <w:rsid w:val="006366ED"/>
    <w:rsid w:val="00640685"/>
    <w:rsid w:val="0064164F"/>
    <w:rsid w:val="00641757"/>
    <w:rsid w:val="00642FE1"/>
    <w:rsid w:val="00644441"/>
    <w:rsid w:val="00651B6B"/>
    <w:rsid w:val="00651EB1"/>
    <w:rsid w:val="006526A9"/>
    <w:rsid w:val="00653A13"/>
    <w:rsid w:val="006544A0"/>
    <w:rsid w:val="00654CF0"/>
    <w:rsid w:val="00655F33"/>
    <w:rsid w:val="0065654E"/>
    <w:rsid w:val="00656982"/>
    <w:rsid w:val="00657E7C"/>
    <w:rsid w:val="00660939"/>
    <w:rsid w:val="00661C0A"/>
    <w:rsid w:val="0066336F"/>
    <w:rsid w:val="00663DF2"/>
    <w:rsid w:val="006656D4"/>
    <w:rsid w:val="00666497"/>
    <w:rsid w:val="00667ECC"/>
    <w:rsid w:val="00671767"/>
    <w:rsid w:val="0067481E"/>
    <w:rsid w:val="00674CF3"/>
    <w:rsid w:val="00681F37"/>
    <w:rsid w:val="00681F9C"/>
    <w:rsid w:val="00682A95"/>
    <w:rsid w:val="00682B38"/>
    <w:rsid w:val="006851F9"/>
    <w:rsid w:val="00687BA6"/>
    <w:rsid w:val="0069307B"/>
    <w:rsid w:val="00695FEF"/>
    <w:rsid w:val="006972ED"/>
    <w:rsid w:val="006A1655"/>
    <w:rsid w:val="006A2761"/>
    <w:rsid w:val="006A3A31"/>
    <w:rsid w:val="006A7174"/>
    <w:rsid w:val="006A7688"/>
    <w:rsid w:val="006B1881"/>
    <w:rsid w:val="006B1E13"/>
    <w:rsid w:val="006B2177"/>
    <w:rsid w:val="006B22C2"/>
    <w:rsid w:val="006B5F57"/>
    <w:rsid w:val="006B65CA"/>
    <w:rsid w:val="006B6F5F"/>
    <w:rsid w:val="006C3C3A"/>
    <w:rsid w:val="006C4FA3"/>
    <w:rsid w:val="006C4FE5"/>
    <w:rsid w:val="006C588F"/>
    <w:rsid w:val="006C6837"/>
    <w:rsid w:val="006C7E2F"/>
    <w:rsid w:val="006D4111"/>
    <w:rsid w:val="006F0B05"/>
    <w:rsid w:val="006F3EAD"/>
    <w:rsid w:val="006F40FC"/>
    <w:rsid w:val="006F4906"/>
    <w:rsid w:val="00700C01"/>
    <w:rsid w:val="0070182D"/>
    <w:rsid w:val="007031EA"/>
    <w:rsid w:val="007078A6"/>
    <w:rsid w:val="00711AEC"/>
    <w:rsid w:val="007122D1"/>
    <w:rsid w:val="00720DA9"/>
    <w:rsid w:val="007211BB"/>
    <w:rsid w:val="00721B73"/>
    <w:rsid w:val="007248A8"/>
    <w:rsid w:val="00726149"/>
    <w:rsid w:val="007262C7"/>
    <w:rsid w:val="00726CE4"/>
    <w:rsid w:val="00726F52"/>
    <w:rsid w:val="00730F3D"/>
    <w:rsid w:val="007315DD"/>
    <w:rsid w:val="007332FF"/>
    <w:rsid w:val="00737545"/>
    <w:rsid w:val="00737D11"/>
    <w:rsid w:val="007422D1"/>
    <w:rsid w:val="00745B18"/>
    <w:rsid w:val="007509D4"/>
    <w:rsid w:val="007539A3"/>
    <w:rsid w:val="00755474"/>
    <w:rsid w:val="00756D28"/>
    <w:rsid w:val="00757FA8"/>
    <w:rsid w:val="00760979"/>
    <w:rsid w:val="00761354"/>
    <w:rsid w:val="00764C09"/>
    <w:rsid w:val="00764C11"/>
    <w:rsid w:val="00764F6A"/>
    <w:rsid w:val="00765E74"/>
    <w:rsid w:val="007715E8"/>
    <w:rsid w:val="00772614"/>
    <w:rsid w:val="00772E5F"/>
    <w:rsid w:val="00775163"/>
    <w:rsid w:val="00775640"/>
    <w:rsid w:val="007764D0"/>
    <w:rsid w:val="00777398"/>
    <w:rsid w:val="00777A8E"/>
    <w:rsid w:val="00777CA1"/>
    <w:rsid w:val="007801C9"/>
    <w:rsid w:val="007803F3"/>
    <w:rsid w:val="00782D73"/>
    <w:rsid w:val="00785517"/>
    <w:rsid w:val="007870D1"/>
    <w:rsid w:val="00787600"/>
    <w:rsid w:val="0079081E"/>
    <w:rsid w:val="00794153"/>
    <w:rsid w:val="007A239C"/>
    <w:rsid w:val="007A3A19"/>
    <w:rsid w:val="007A43ED"/>
    <w:rsid w:val="007A46F8"/>
    <w:rsid w:val="007A5846"/>
    <w:rsid w:val="007A7EBA"/>
    <w:rsid w:val="007B17C6"/>
    <w:rsid w:val="007B6945"/>
    <w:rsid w:val="007B6D8F"/>
    <w:rsid w:val="007C0CB7"/>
    <w:rsid w:val="007C17DC"/>
    <w:rsid w:val="007C44FE"/>
    <w:rsid w:val="007C586A"/>
    <w:rsid w:val="007C5EE5"/>
    <w:rsid w:val="007C623B"/>
    <w:rsid w:val="007C640A"/>
    <w:rsid w:val="007C711A"/>
    <w:rsid w:val="007D15F0"/>
    <w:rsid w:val="007D7589"/>
    <w:rsid w:val="007E168C"/>
    <w:rsid w:val="007E2F28"/>
    <w:rsid w:val="007E3268"/>
    <w:rsid w:val="007E3960"/>
    <w:rsid w:val="007E6BB9"/>
    <w:rsid w:val="007E6FB3"/>
    <w:rsid w:val="007F3565"/>
    <w:rsid w:val="007F42C7"/>
    <w:rsid w:val="007F4A6E"/>
    <w:rsid w:val="008034F9"/>
    <w:rsid w:val="00804325"/>
    <w:rsid w:val="00805F4E"/>
    <w:rsid w:val="008073D4"/>
    <w:rsid w:val="00807404"/>
    <w:rsid w:val="0080788D"/>
    <w:rsid w:val="00810BA1"/>
    <w:rsid w:val="00811874"/>
    <w:rsid w:val="00811CE7"/>
    <w:rsid w:val="008132BB"/>
    <w:rsid w:val="00815C03"/>
    <w:rsid w:val="0081731A"/>
    <w:rsid w:val="008177E7"/>
    <w:rsid w:val="00823CDD"/>
    <w:rsid w:val="00823F17"/>
    <w:rsid w:val="00823F5A"/>
    <w:rsid w:val="0082443D"/>
    <w:rsid w:val="0083153A"/>
    <w:rsid w:val="00831EC1"/>
    <w:rsid w:val="00836AAF"/>
    <w:rsid w:val="00837A84"/>
    <w:rsid w:val="00837AA7"/>
    <w:rsid w:val="00841433"/>
    <w:rsid w:val="0084343C"/>
    <w:rsid w:val="00846A84"/>
    <w:rsid w:val="00852334"/>
    <w:rsid w:val="00856285"/>
    <w:rsid w:val="00857730"/>
    <w:rsid w:val="00862A1D"/>
    <w:rsid w:val="00864703"/>
    <w:rsid w:val="00864D34"/>
    <w:rsid w:val="00865781"/>
    <w:rsid w:val="008719CB"/>
    <w:rsid w:val="0087280A"/>
    <w:rsid w:val="008738AB"/>
    <w:rsid w:val="0087406C"/>
    <w:rsid w:val="0087494D"/>
    <w:rsid w:val="00875C79"/>
    <w:rsid w:val="00875E6D"/>
    <w:rsid w:val="00881153"/>
    <w:rsid w:val="0088331A"/>
    <w:rsid w:val="00890504"/>
    <w:rsid w:val="0089154B"/>
    <w:rsid w:val="00892694"/>
    <w:rsid w:val="0089315C"/>
    <w:rsid w:val="00894C9C"/>
    <w:rsid w:val="00896FB6"/>
    <w:rsid w:val="008A1C93"/>
    <w:rsid w:val="008A500A"/>
    <w:rsid w:val="008B364B"/>
    <w:rsid w:val="008B5042"/>
    <w:rsid w:val="008B5FCB"/>
    <w:rsid w:val="008B61C2"/>
    <w:rsid w:val="008B7339"/>
    <w:rsid w:val="008B7ADF"/>
    <w:rsid w:val="008C3643"/>
    <w:rsid w:val="008C4AE5"/>
    <w:rsid w:val="008C721F"/>
    <w:rsid w:val="008C7DA6"/>
    <w:rsid w:val="008D08D9"/>
    <w:rsid w:val="008D5336"/>
    <w:rsid w:val="008D5AD1"/>
    <w:rsid w:val="008D607F"/>
    <w:rsid w:val="008D6102"/>
    <w:rsid w:val="008D62C7"/>
    <w:rsid w:val="008D70F9"/>
    <w:rsid w:val="008E12C1"/>
    <w:rsid w:val="008E166D"/>
    <w:rsid w:val="008E16EF"/>
    <w:rsid w:val="008E210F"/>
    <w:rsid w:val="008E4DF0"/>
    <w:rsid w:val="008E526A"/>
    <w:rsid w:val="008E5B85"/>
    <w:rsid w:val="008F1457"/>
    <w:rsid w:val="008F162A"/>
    <w:rsid w:val="008F5504"/>
    <w:rsid w:val="00904E22"/>
    <w:rsid w:val="00905BA1"/>
    <w:rsid w:val="00913E50"/>
    <w:rsid w:val="0091403A"/>
    <w:rsid w:val="009144AC"/>
    <w:rsid w:val="00914E39"/>
    <w:rsid w:val="0091557F"/>
    <w:rsid w:val="00915ED0"/>
    <w:rsid w:val="00916BD0"/>
    <w:rsid w:val="0092058F"/>
    <w:rsid w:val="00920E28"/>
    <w:rsid w:val="0092109F"/>
    <w:rsid w:val="009218D9"/>
    <w:rsid w:val="009231E6"/>
    <w:rsid w:val="0092579F"/>
    <w:rsid w:val="009271EC"/>
    <w:rsid w:val="00931760"/>
    <w:rsid w:val="009331C5"/>
    <w:rsid w:val="00933389"/>
    <w:rsid w:val="009361CE"/>
    <w:rsid w:val="009406C2"/>
    <w:rsid w:val="00941171"/>
    <w:rsid w:val="00941969"/>
    <w:rsid w:val="00942727"/>
    <w:rsid w:val="009469E5"/>
    <w:rsid w:val="0094717A"/>
    <w:rsid w:val="009479DB"/>
    <w:rsid w:val="009513E6"/>
    <w:rsid w:val="009521FE"/>
    <w:rsid w:val="00953686"/>
    <w:rsid w:val="009540C4"/>
    <w:rsid w:val="009629D4"/>
    <w:rsid w:val="00963C93"/>
    <w:rsid w:val="009640EC"/>
    <w:rsid w:val="00964A52"/>
    <w:rsid w:val="009670CB"/>
    <w:rsid w:val="009677CC"/>
    <w:rsid w:val="0097118A"/>
    <w:rsid w:val="009711B2"/>
    <w:rsid w:val="00971623"/>
    <w:rsid w:val="009727A0"/>
    <w:rsid w:val="00972C86"/>
    <w:rsid w:val="009732B4"/>
    <w:rsid w:val="00974A81"/>
    <w:rsid w:val="00974FC9"/>
    <w:rsid w:val="0097570A"/>
    <w:rsid w:val="009828A4"/>
    <w:rsid w:val="00983D49"/>
    <w:rsid w:val="00984CD6"/>
    <w:rsid w:val="009857B1"/>
    <w:rsid w:val="00985895"/>
    <w:rsid w:val="00987A53"/>
    <w:rsid w:val="00990B57"/>
    <w:rsid w:val="00993F99"/>
    <w:rsid w:val="009A0986"/>
    <w:rsid w:val="009A10BF"/>
    <w:rsid w:val="009A45C8"/>
    <w:rsid w:val="009A59C7"/>
    <w:rsid w:val="009A60B0"/>
    <w:rsid w:val="009A7E67"/>
    <w:rsid w:val="009B1F15"/>
    <w:rsid w:val="009B30CF"/>
    <w:rsid w:val="009B3782"/>
    <w:rsid w:val="009B6741"/>
    <w:rsid w:val="009C130B"/>
    <w:rsid w:val="009C1EA5"/>
    <w:rsid w:val="009C37C0"/>
    <w:rsid w:val="009C447C"/>
    <w:rsid w:val="009C5EF4"/>
    <w:rsid w:val="009D5762"/>
    <w:rsid w:val="009D5DAA"/>
    <w:rsid w:val="009D6899"/>
    <w:rsid w:val="009D79C1"/>
    <w:rsid w:val="009D7FCC"/>
    <w:rsid w:val="009E08FB"/>
    <w:rsid w:val="009E10AB"/>
    <w:rsid w:val="009E26CF"/>
    <w:rsid w:val="009E2F21"/>
    <w:rsid w:val="009E59B0"/>
    <w:rsid w:val="009F0334"/>
    <w:rsid w:val="009F4063"/>
    <w:rsid w:val="009F4DC5"/>
    <w:rsid w:val="009F5FE7"/>
    <w:rsid w:val="009F63DE"/>
    <w:rsid w:val="009F7181"/>
    <w:rsid w:val="009F7A4D"/>
    <w:rsid w:val="00A01520"/>
    <w:rsid w:val="00A01CBE"/>
    <w:rsid w:val="00A02E22"/>
    <w:rsid w:val="00A11758"/>
    <w:rsid w:val="00A131E8"/>
    <w:rsid w:val="00A13C0D"/>
    <w:rsid w:val="00A14149"/>
    <w:rsid w:val="00A142C9"/>
    <w:rsid w:val="00A14979"/>
    <w:rsid w:val="00A15312"/>
    <w:rsid w:val="00A15DA7"/>
    <w:rsid w:val="00A169C2"/>
    <w:rsid w:val="00A20F48"/>
    <w:rsid w:val="00A22010"/>
    <w:rsid w:val="00A26FC1"/>
    <w:rsid w:val="00A3398D"/>
    <w:rsid w:val="00A34603"/>
    <w:rsid w:val="00A36862"/>
    <w:rsid w:val="00A432AF"/>
    <w:rsid w:val="00A43D57"/>
    <w:rsid w:val="00A44CF2"/>
    <w:rsid w:val="00A45A87"/>
    <w:rsid w:val="00A45E59"/>
    <w:rsid w:val="00A45E80"/>
    <w:rsid w:val="00A50A8E"/>
    <w:rsid w:val="00A56BA7"/>
    <w:rsid w:val="00A577F6"/>
    <w:rsid w:val="00A57AD0"/>
    <w:rsid w:val="00A676AA"/>
    <w:rsid w:val="00A679E5"/>
    <w:rsid w:val="00A7165E"/>
    <w:rsid w:val="00A718FE"/>
    <w:rsid w:val="00A7250A"/>
    <w:rsid w:val="00A73BCC"/>
    <w:rsid w:val="00A760C8"/>
    <w:rsid w:val="00A772F6"/>
    <w:rsid w:val="00A80298"/>
    <w:rsid w:val="00A80F6A"/>
    <w:rsid w:val="00A82A65"/>
    <w:rsid w:val="00A8503E"/>
    <w:rsid w:val="00A850E0"/>
    <w:rsid w:val="00A86014"/>
    <w:rsid w:val="00A910EE"/>
    <w:rsid w:val="00A94D03"/>
    <w:rsid w:val="00A96B89"/>
    <w:rsid w:val="00A96D19"/>
    <w:rsid w:val="00AA0F15"/>
    <w:rsid w:val="00AA579D"/>
    <w:rsid w:val="00AA764D"/>
    <w:rsid w:val="00AA7BD6"/>
    <w:rsid w:val="00AB0FD7"/>
    <w:rsid w:val="00AB4560"/>
    <w:rsid w:val="00AC0DDC"/>
    <w:rsid w:val="00AC1625"/>
    <w:rsid w:val="00AC3648"/>
    <w:rsid w:val="00AC6B2C"/>
    <w:rsid w:val="00AC747D"/>
    <w:rsid w:val="00AD0867"/>
    <w:rsid w:val="00AD1AEC"/>
    <w:rsid w:val="00AD2AF1"/>
    <w:rsid w:val="00AD67F5"/>
    <w:rsid w:val="00AE00E6"/>
    <w:rsid w:val="00AE18C7"/>
    <w:rsid w:val="00AE5A90"/>
    <w:rsid w:val="00AE5D22"/>
    <w:rsid w:val="00AF1D5E"/>
    <w:rsid w:val="00AF2549"/>
    <w:rsid w:val="00B01A00"/>
    <w:rsid w:val="00B02F00"/>
    <w:rsid w:val="00B0580E"/>
    <w:rsid w:val="00B107A7"/>
    <w:rsid w:val="00B10EBE"/>
    <w:rsid w:val="00B11BB3"/>
    <w:rsid w:val="00B12AE7"/>
    <w:rsid w:val="00B139B3"/>
    <w:rsid w:val="00B14F49"/>
    <w:rsid w:val="00B16BC2"/>
    <w:rsid w:val="00B238D0"/>
    <w:rsid w:val="00B25422"/>
    <w:rsid w:val="00B25F02"/>
    <w:rsid w:val="00B2626E"/>
    <w:rsid w:val="00B30629"/>
    <w:rsid w:val="00B30F3D"/>
    <w:rsid w:val="00B31F36"/>
    <w:rsid w:val="00B32FC4"/>
    <w:rsid w:val="00B3359F"/>
    <w:rsid w:val="00B3505D"/>
    <w:rsid w:val="00B3773E"/>
    <w:rsid w:val="00B42A1E"/>
    <w:rsid w:val="00B43D1D"/>
    <w:rsid w:val="00B518AD"/>
    <w:rsid w:val="00B52CDA"/>
    <w:rsid w:val="00B531DC"/>
    <w:rsid w:val="00B54A7E"/>
    <w:rsid w:val="00B5561B"/>
    <w:rsid w:val="00B60455"/>
    <w:rsid w:val="00B60787"/>
    <w:rsid w:val="00B62A17"/>
    <w:rsid w:val="00B63739"/>
    <w:rsid w:val="00B63ED0"/>
    <w:rsid w:val="00B64E02"/>
    <w:rsid w:val="00B655FB"/>
    <w:rsid w:val="00B65677"/>
    <w:rsid w:val="00B66F74"/>
    <w:rsid w:val="00B67893"/>
    <w:rsid w:val="00B766F9"/>
    <w:rsid w:val="00B76EDE"/>
    <w:rsid w:val="00B80114"/>
    <w:rsid w:val="00B8112B"/>
    <w:rsid w:val="00B82076"/>
    <w:rsid w:val="00B83F6C"/>
    <w:rsid w:val="00B84589"/>
    <w:rsid w:val="00B846A6"/>
    <w:rsid w:val="00B85222"/>
    <w:rsid w:val="00B8660A"/>
    <w:rsid w:val="00B866F0"/>
    <w:rsid w:val="00B90113"/>
    <w:rsid w:val="00B91F01"/>
    <w:rsid w:val="00B92A8C"/>
    <w:rsid w:val="00B936F7"/>
    <w:rsid w:val="00B93F45"/>
    <w:rsid w:val="00BA0F97"/>
    <w:rsid w:val="00BA211B"/>
    <w:rsid w:val="00BA5FF4"/>
    <w:rsid w:val="00BB0D14"/>
    <w:rsid w:val="00BB23DC"/>
    <w:rsid w:val="00BB2F83"/>
    <w:rsid w:val="00BB4A71"/>
    <w:rsid w:val="00BB66D8"/>
    <w:rsid w:val="00BC1857"/>
    <w:rsid w:val="00BC1A4E"/>
    <w:rsid w:val="00BC20FD"/>
    <w:rsid w:val="00BC27C2"/>
    <w:rsid w:val="00BC42E8"/>
    <w:rsid w:val="00BC44A4"/>
    <w:rsid w:val="00BD1990"/>
    <w:rsid w:val="00BD7C22"/>
    <w:rsid w:val="00BE4143"/>
    <w:rsid w:val="00BE7088"/>
    <w:rsid w:val="00BE7805"/>
    <w:rsid w:val="00BF149F"/>
    <w:rsid w:val="00BF3B1A"/>
    <w:rsid w:val="00BF6C43"/>
    <w:rsid w:val="00BF7559"/>
    <w:rsid w:val="00BF761E"/>
    <w:rsid w:val="00C01E04"/>
    <w:rsid w:val="00C02113"/>
    <w:rsid w:val="00C03996"/>
    <w:rsid w:val="00C06322"/>
    <w:rsid w:val="00C06B8E"/>
    <w:rsid w:val="00C07356"/>
    <w:rsid w:val="00C114E8"/>
    <w:rsid w:val="00C11E13"/>
    <w:rsid w:val="00C11FED"/>
    <w:rsid w:val="00C12287"/>
    <w:rsid w:val="00C12633"/>
    <w:rsid w:val="00C128D5"/>
    <w:rsid w:val="00C16273"/>
    <w:rsid w:val="00C16DDF"/>
    <w:rsid w:val="00C2086A"/>
    <w:rsid w:val="00C22E43"/>
    <w:rsid w:val="00C25036"/>
    <w:rsid w:val="00C25938"/>
    <w:rsid w:val="00C25F58"/>
    <w:rsid w:val="00C27807"/>
    <w:rsid w:val="00C30B8C"/>
    <w:rsid w:val="00C30BF2"/>
    <w:rsid w:val="00C32E97"/>
    <w:rsid w:val="00C33E59"/>
    <w:rsid w:val="00C33ED2"/>
    <w:rsid w:val="00C347F0"/>
    <w:rsid w:val="00C37DF9"/>
    <w:rsid w:val="00C40799"/>
    <w:rsid w:val="00C435D1"/>
    <w:rsid w:val="00C44FCE"/>
    <w:rsid w:val="00C45363"/>
    <w:rsid w:val="00C46B5A"/>
    <w:rsid w:val="00C50DFF"/>
    <w:rsid w:val="00C535F9"/>
    <w:rsid w:val="00C55B5E"/>
    <w:rsid w:val="00C56A4E"/>
    <w:rsid w:val="00C6132B"/>
    <w:rsid w:val="00C61F6A"/>
    <w:rsid w:val="00C61F6E"/>
    <w:rsid w:val="00C62918"/>
    <w:rsid w:val="00C635D6"/>
    <w:rsid w:val="00C65972"/>
    <w:rsid w:val="00C663E4"/>
    <w:rsid w:val="00C6723F"/>
    <w:rsid w:val="00C67A5E"/>
    <w:rsid w:val="00C70B45"/>
    <w:rsid w:val="00C72838"/>
    <w:rsid w:val="00C73A3E"/>
    <w:rsid w:val="00C73FE7"/>
    <w:rsid w:val="00C76A20"/>
    <w:rsid w:val="00C76F51"/>
    <w:rsid w:val="00C867FF"/>
    <w:rsid w:val="00C86A05"/>
    <w:rsid w:val="00C87CE6"/>
    <w:rsid w:val="00C91B33"/>
    <w:rsid w:val="00C921C8"/>
    <w:rsid w:val="00C9267A"/>
    <w:rsid w:val="00C92EBF"/>
    <w:rsid w:val="00C93C90"/>
    <w:rsid w:val="00C944DA"/>
    <w:rsid w:val="00CA3A40"/>
    <w:rsid w:val="00CA4630"/>
    <w:rsid w:val="00CA6595"/>
    <w:rsid w:val="00CA6682"/>
    <w:rsid w:val="00CB1C33"/>
    <w:rsid w:val="00CB40C4"/>
    <w:rsid w:val="00CB460B"/>
    <w:rsid w:val="00CB621C"/>
    <w:rsid w:val="00CC18E0"/>
    <w:rsid w:val="00CC21B0"/>
    <w:rsid w:val="00CC2A3C"/>
    <w:rsid w:val="00CD2D1D"/>
    <w:rsid w:val="00CD5F94"/>
    <w:rsid w:val="00CE0255"/>
    <w:rsid w:val="00CE18D8"/>
    <w:rsid w:val="00CE2AA2"/>
    <w:rsid w:val="00CE33AE"/>
    <w:rsid w:val="00CE3BE3"/>
    <w:rsid w:val="00CE4469"/>
    <w:rsid w:val="00CE46EF"/>
    <w:rsid w:val="00CF05E5"/>
    <w:rsid w:val="00CF11BD"/>
    <w:rsid w:val="00CF3FB9"/>
    <w:rsid w:val="00CF5257"/>
    <w:rsid w:val="00CF5F2E"/>
    <w:rsid w:val="00CF6165"/>
    <w:rsid w:val="00CF6CBA"/>
    <w:rsid w:val="00CF7EA2"/>
    <w:rsid w:val="00D0044D"/>
    <w:rsid w:val="00D01008"/>
    <w:rsid w:val="00D0224D"/>
    <w:rsid w:val="00D02785"/>
    <w:rsid w:val="00D02826"/>
    <w:rsid w:val="00D034DB"/>
    <w:rsid w:val="00D100A5"/>
    <w:rsid w:val="00D14CB4"/>
    <w:rsid w:val="00D17AB6"/>
    <w:rsid w:val="00D200C6"/>
    <w:rsid w:val="00D20C37"/>
    <w:rsid w:val="00D23CD6"/>
    <w:rsid w:val="00D25BB2"/>
    <w:rsid w:val="00D32A39"/>
    <w:rsid w:val="00D3313C"/>
    <w:rsid w:val="00D35B35"/>
    <w:rsid w:val="00D3798F"/>
    <w:rsid w:val="00D431E8"/>
    <w:rsid w:val="00D46A7B"/>
    <w:rsid w:val="00D52703"/>
    <w:rsid w:val="00D542BA"/>
    <w:rsid w:val="00D5506F"/>
    <w:rsid w:val="00D564EE"/>
    <w:rsid w:val="00D60368"/>
    <w:rsid w:val="00D64936"/>
    <w:rsid w:val="00D64F1A"/>
    <w:rsid w:val="00D66A72"/>
    <w:rsid w:val="00D713DC"/>
    <w:rsid w:val="00D72F4D"/>
    <w:rsid w:val="00D736AC"/>
    <w:rsid w:val="00D7671D"/>
    <w:rsid w:val="00D76C99"/>
    <w:rsid w:val="00D77A08"/>
    <w:rsid w:val="00D81413"/>
    <w:rsid w:val="00D8315A"/>
    <w:rsid w:val="00D85F8F"/>
    <w:rsid w:val="00D860A8"/>
    <w:rsid w:val="00D87E57"/>
    <w:rsid w:val="00D87EFA"/>
    <w:rsid w:val="00D954FC"/>
    <w:rsid w:val="00DA1BA5"/>
    <w:rsid w:val="00DA580C"/>
    <w:rsid w:val="00DA5C13"/>
    <w:rsid w:val="00DA5CAA"/>
    <w:rsid w:val="00DA5D90"/>
    <w:rsid w:val="00DA6C29"/>
    <w:rsid w:val="00DA6E8D"/>
    <w:rsid w:val="00DA7222"/>
    <w:rsid w:val="00DA761F"/>
    <w:rsid w:val="00DB0CD1"/>
    <w:rsid w:val="00DB15EA"/>
    <w:rsid w:val="00DB2FF6"/>
    <w:rsid w:val="00DB4343"/>
    <w:rsid w:val="00DB6260"/>
    <w:rsid w:val="00DC134B"/>
    <w:rsid w:val="00DC3BF6"/>
    <w:rsid w:val="00DC6DD2"/>
    <w:rsid w:val="00DD15D1"/>
    <w:rsid w:val="00DD2575"/>
    <w:rsid w:val="00DD3185"/>
    <w:rsid w:val="00DD7E12"/>
    <w:rsid w:val="00DE0CF4"/>
    <w:rsid w:val="00DE0E63"/>
    <w:rsid w:val="00DE3DC6"/>
    <w:rsid w:val="00DE41A9"/>
    <w:rsid w:val="00DE4819"/>
    <w:rsid w:val="00DF594E"/>
    <w:rsid w:val="00DF5F8A"/>
    <w:rsid w:val="00DF6BA3"/>
    <w:rsid w:val="00DF7B1D"/>
    <w:rsid w:val="00E00756"/>
    <w:rsid w:val="00E04622"/>
    <w:rsid w:val="00E0553E"/>
    <w:rsid w:val="00E062DB"/>
    <w:rsid w:val="00E06486"/>
    <w:rsid w:val="00E101FB"/>
    <w:rsid w:val="00E2064E"/>
    <w:rsid w:val="00E22246"/>
    <w:rsid w:val="00E2359B"/>
    <w:rsid w:val="00E24230"/>
    <w:rsid w:val="00E26A69"/>
    <w:rsid w:val="00E3006E"/>
    <w:rsid w:val="00E3107A"/>
    <w:rsid w:val="00E32BC9"/>
    <w:rsid w:val="00E35388"/>
    <w:rsid w:val="00E366F4"/>
    <w:rsid w:val="00E40CE6"/>
    <w:rsid w:val="00E41662"/>
    <w:rsid w:val="00E41861"/>
    <w:rsid w:val="00E421D7"/>
    <w:rsid w:val="00E43757"/>
    <w:rsid w:val="00E43E07"/>
    <w:rsid w:val="00E454FE"/>
    <w:rsid w:val="00E46464"/>
    <w:rsid w:val="00E5259D"/>
    <w:rsid w:val="00E54AB4"/>
    <w:rsid w:val="00E572F8"/>
    <w:rsid w:val="00E57AFA"/>
    <w:rsid w:val="00E57DD3"/>
    <w:rsid w:val="00E637D4"/>
    <w:rsid w:val="00E63FB0"/>
    <w:rsid w:val="00E6479A"/>
    <w:rsid w:val="00E64E04"/>
    <w:rsid w:val="00E66D45"/>
    <w:rsid w:val="00E67F27"/>
    <w:rsid w:val="00E7021D"/>
    <w:rsid w:val="00E703A1"/>
    <w:rsid w:val="00E74F4F"/>
    <w:rsid w:val="00E75E18"/>
    <w:rsid w:val="00E770AD"/>
    <w:rsid w:val="00E774A6"/>
    <w:rsid w:val="00E80717"/>
    <w:rsid w:val="00E84179"/>
    <w:rsid w:val="00E85410"/>
    <w:rsid w:val="00E86F20"/>
    <w:rsid w:val="00E913F3"/>
    <w:rsid w:val="00E95BDA"/>
    <w:rsid w:val="00EA05E3"/>
    <w:rsid w:val="00EA4368"/>
    <w:rsid w:val="00EA5AD9"/>
    <w:rsid w:val="00EB1658"/>
    <w:rsid w:val="00EB1C0E"/>
    <w:rsid w:val="00EB38C5"/>
    <w:rsid w:val="00EB395C"/>
    <w:rsid w:val="00EB4A9B"/>
    <w:rsid w:val="00EB60BD"/>
    <w:rsid w:val="00EB6F95"/>
    <w:rsid w:val="00EC4E95"/>
    <w:rsid w:val="00EC582D"/>
    <w:rsid w:val="00EC6E2F"/>
    <w:rsid w:val="00EC7B03"/>
    <w:rsid w:val="00ED2066"/>
    <w:rsid w:val="00ED2DC6"/>
    <w:rsid w:val="00ED34E5"/>
    <w:rsid w:val="00ED623D"/>
    <w:rsid w:val="00ED6426"/>
    <w:rsid w:val="00ED76B8"/>
    <w:rsid w:val="00EE0232"/>
    <w:rsid w:val="00EF07FE"/>
    <w:rsid w:val="00EF0A7A"/>
    <w:rsid w:val="00EF100A"/>
    <w:rsid w:val="00EF164D"/>
    <w:rsid w:val="00EF19EA"/>
    <w:rsid w:val="00EF1F0F"/>
    <w:rsid w:val="00EF1F97"/>
    <w:rsid w:val="00EF4627"/>
    <w:rsid w:val="00EF74A8"/>
    <w:rsid w:val="00F003FB"/>
    <w:rsid w:val="00F00A7A"/>
    <w:rsid w:val="00F04F30"/>
    <w:rsid w:val="00F139D7"/>
    <w:rsid w:val="00F161F4"/>
    <w:rsid w:val="00F16CC1"/>
    <w:rsid w:val="00F224F9"/>
    <w:rsid w:val="00F2707F"/>
    <w:rsid w:val="00F32283"/>
    <w:rsid w:val="00F32B1D"/>
    <w:rsid w:val="00F32FB0"/>
    <w:rsid w:val="00F330A3"/>
    <w:rsid w:val="00F34C75"/>
    <w:rsid w:val="00F35690"/>
    <w:rsid w:val="00F4033D"/>
    <w:rsid w:val="00F4500D"/>
    <w:rsid w:val="00F45CDA"/>
    <w:rsid w:val="00F512BD"/>
    <w:rsid w:val="00F536D1"/>
    <w:rsid w:val="00F55D95"/>
    <w:rsid w:val="00F60CF8"/>
    <w:rsid w:val="00F6102B"/>
    <w:rsid w:val="00F65542"/>
    <w:rsid w:val="00F670CB"/>
    <w:rsid w:val="00F67573"/>
    <w:rsid w:val="00F717BE"/>
    <w:rsid w:val="00F76DBA"/>
    <w:rsid w:val="00F77EA7"/>
    <w:rsid w:val="00F81B51"/>
    <w:rsid w:val="00F845ED"/>
    <w:rsid w:val="00F85878"/>
    <w:rsid w:val="00F85B3B"/>
    <w:rsid w:val="00F86C5D"/>
    <w:rsid w:val="00F87147"/>
    <w:rsid w:val="00F874A7"/>
    <w:rsid w:val="00F906FA"/>
    <w:rsid w:val="00F90735"/>
    <w:rsid w:val="00F908C7"/>
    <w:rsid w:val="00F92E09"/>
    <w:rsid w:val="00FA0CC0"/>
    <w:rsid w:val="00FA3248"/>
    <w:rsid w:val="00FA35CA"/>
    <w:rsid w:val="00FB2E39"/>
    <w:rsid w:val="00FB4013"/>
    <w:rsid w:val="00FB43FD"/>
    <w:rsid w:val="00FC2319"/>
    <w:rsid w:val="00FC4DCD"/>
    <w:rsid w:val="00FC530C"/>
    <w:rsid w:val="00FD3110"/>
    <w:rsid w:val="00FD4814"/>
    <w:rsid w:val="00FE02B0"/>
    <w:rsid w:val="00FE1350"/>
    <w:rsid w:val="00FE20C9"/>
    <w:rsid w:val="00FE435A"/>
    <w:rsid w:val="00FE46A9"/>
    <w:rsid w:val="00FE53B2"/>
    <w:rsid w:val="00FE59C3"/>
    <w:rsid w:val="00FE697B"/>
    <w:rsid w:val="00FE73A4"/>
    <w:rsid w:val="00FF073E"/>
    <w:rsid w:val="00FF202F"/>
    <w:rsid w:val="00FF413A"/>
    <w:rsid w:val="01F01BD2"/>
    <w:rsid w:val="02BE3A7E"/>
    <w:rsid w:val="03C350C4"/>
    <w:rsid w:val="03EE0393"/>
    <w:rsid w:val="04406715"/>
    <w:rsid w:val="051756C8"/>
    <w:rsid w:val="055C757F"/>
    <w:rsid w:val="055E50A5"/>
    <w:rsid w:val="05B9052D"/>
    <w:rsid w:val="05E723A0"/>
    <w:rsid w:val="06563FCE"/>
    <w:rsid w:val="072F5FA1"/>
    <w:rsid w:val="07373FF6"/>
    <w:rsid w:val="07830DF3"/>
    <w:rsid w:val="08024D8F"/>
    <w:rsid w:val="08043135"/>
    <w:rsid w:val="087B41C0"/>
    <w:rsid w:val="08C271D4"/>
    <w:rsid w:val="08C72F61"/>
    <w:rsid w:val="090C343E"/>
    <w:rsid w:val="09616F12"/>
    <w:rsid w:val="0A216355"/>
    <w:rsid w:val="0A2C47EA"/>
    <w:rsid w:val="0A2E08FE"/>
    <w:rsid w:val="0A786C09"/>
    <w:rsid w:val="0AA12BB4"/>
    <w:rsid w:val="0ADF27E4"/>
    <w:rsid w:val="0B8B64C8"/>
    <w:rsid w:val="0BDD0575"/>
    <w:rsid w:val="0C63632F"/>
    <w:rsid w:val="0C862251"/>
    <w:rsid w:val="0CF2326D"/>
    <w:rsid w:val="0DAD6BC9"/>
    <w:rsid w:val="0DB7631C"/>
    <w:rsid w:val="0DC13B60"/>
    <w:rsid w:val="0DE6032D"/>
    <w:rsid w:val="0DED16BC"/>
    <w:rsid w:val="0E0B7D94"/>
    <w:rsid w:val="0EB421D9"/>
    <w:rsid w:val="0EE71CB8"/>
    <w:rsid w:val="10391A0F"/>
    <w:rsid w:val="10CC3638"/>
    <w:rsid w:val="11625F1D"/>
    <w:rsid w:val="11C95F9C"/>
    <w:rsid w:val="11D063A9"/>
    <w:rsid w:val="124B4C03"/>
    <w:rsid w:val="12BF6E30"/>
    <w:rsid w:val="12DD1CFF"/>
    <w:rsid w:val="12EF1A32"/>
    <w:rsid w:val="13135720"/>
    <w:rsid w:val="137D6286"/>
    <w:rsid w:val="14244784"/>
    <w:rsid w:val="14C643C6"/>
    <w:rsid w:val="158C17BA"/>
    <w:rsid w:val="15CC7E09"/>
    <w:rsid w:val="16A62222"/>
    <w:rsid w:val="176E561B"/>
    <w:rsid w:val="17800EAB"/>
    <w:rsid w:val="17A0154D"/>
    <w:rsid w:val="17A54DB5"/>
    <w:rsid w:val="184E71FB"/>
    <w:rsid w:val="18534811"/>
    <w:rsid w:val="18F733EE"/>
    <w:rsid w:val="195720DF"/>
    <w:rsid w:val="197B5DCD"/>
    <w:rsid w:val="19DB4ABE"/>
    <w:rsid w:val="1A0062D3"/>
    <w:rsid w:val="1A9D7FC6"/>
    <w:rsid w:val="1B0E4A1F"/>
    <w:rsid w:val="1BC11886"/>
    <w:rsid w:val="1C166281"/>
    <w:rsid w:val="1C1D13BE"/>
    <w:rsid w:val="1C2241B0"/>
    <w:rsid w:val="1C400A24"/>
    <w:rsid w:val="1C4D1D49"/>
    <w:rsid w:val="1C984EE8"/>
    <w:rsid w:val="1C9A0C60"/>
    <w:rsid w:val="1C9D24FF"/>
    <w:rsid w:val="1CAB3E1D"/>
    <w:rsid w:val="1CD639DB"/>
    <w:rsid w:val="1D022362"/>
    <w:rsid w:val="1D0B3C12"/>
    <w:rsid w:val="1D416B9B"/>
    <w:rsid w:val="1D8B2357"/>
    <w:rsid w:val="1DBE097F"/>
    <w:rsid w:val="1E3E2B0F"/>
    <w:rsid w:val="1E8A0861"/>
    <w:rsid w:val="1EB458DE"/>
    <w:rsid w:val="1EDF5E77"/>
    <w:rsid w:val="1EFE3ED9"/>
    <w:rsid w:val="1F5A0233"/>
    <w:rsid w:val="1FA871F0"/>
    <w:rsid w:val="202A5E57"/>
    <w:rsid w:val="20A5197F"/>
    <w:rsid w:val="21535882"/>
    <w:rsid w:val="21717AB6"/>
    <w:rsid w:val="21C67E02"/>
    <w:rsid w:val="221C3EC6"/>
    <w:rsid w:val="22206098"/>
    <w:rsid w:val="228201CD"/>
    <w:rsid w:val="22AA45A8"/>
    <w:rsid w:val="23923697"/>
    <w:rsid w:val="23E629DD"/>
    <w:rsid w:val="246A716A"/>
    <w:rsid w:val="24985713"/>
    <w:rsid w:val="24FC7E09"/>
    <w:rsid w:val="2500187D"/>
    <w:rsid w:val="256E05D6"/>
    <w:rsid w:val="257A518B"/>
    <w:rsid w:val="26013AFE"/>
    <w:rsid w:val="26A36964"/>
    <w:rsid w:val="26F70A5D"/>
    <w:rsid w:val="27007912"/>
    <w:rsid w:val="27314135"/>
    <w:rsid w:val="273F48DE"/>
    <w:rsid w:val="277F117F"/>
    <w:rsid w:val="27E96DDF"/>
    <w:rsid w:val="280806AD"/>
    <w:rsid w:val="28306FBE"/>
    <w:rsid w:val="28B60BD0"/>
    <w:rsid w:val="299B6018"/>
    <w:rsid w:val="29B64833"/>
    <w:rsid w:val="29D410A0"/>
    <w:rsid w:val="29F85218"/>
    <w:rsid w:val="2ABE22AE"/>
    <w:rsid w:val="2AD52E64"/>
    <w:rsid w:val="2AF14141"/>
    <w:rsid w:val="2CC6515A"/>
    <w:rsid w:val="2D4A7B39"/>
    <w:rsid w:val="2DD84F89"/>
    <w:rsid w:val="2E3507E9"/>
    <w:rsid w:val="2E47051C"/>
    <w:rsid w:val="2E8250B1"/>
    <w:rsid w:val="2F2B74F6"/>
    <w:rsid w:val="2F73532D"/>
    <w:rsid w:val="2FB17E68"/>
    <w:rsid w:val="2FF92D1E"/>
    <w:rsid w:val="30226B4B"/>
    <w:rsid w:val="30963095"/>
    <w:rsid w:val="30AE442A"/>
    <w:rsid w:val="310003C0"/>
    <w:rsid w:val="31440D43"/>
    <w:rsid w:val="31AC2653"/>
    <w:rsid w:val="31ED29DA"/>
    <w:rsid w:val="33092244"/>
    <w:rsid w:val="346E036F"/>
    <w:rsid w:val="347A51A8"/>
    <w:rsid w:val="351849C1"/>
    <w:rsid w:val="362B2522"/>
    <w:rsid w:val="365C6CB1"/>
    <w:rsid w:val="368A369C"/>
    <w:rsid w:val="36D76825"/>
    <w:rsid w:val="36D943C3"/>
    <w:rsid w:val="37046FAB"/>
    <w:rsid w:val="37166499"/>
    <w:rsid w:val="372031BE"/>
    <w:rsid w:val="375E1949"/>
    <w:rsid w:val="37703C09"/>
    <w:rsid w:val="3781684D"/>
    <w:rsid w:val="378325C5"/>
    <w:rsid w:val="378A39CB"/>
    <w:rsid w:val="37A10C9D"/>
    <w:rsid w:val="37DA2395"/>
    <w:rsid w:val="380279E9"/>
    <w:rsid w:val="38080D1C"/>
    <w:rsid w:val="385A162B"/>
    <w:rsid w:val="38997BC6"/>
    <w:rsid w:val="38D71D28"/>
    <w:rsid w:val="39FA03F0"/>
    <w:rsid w:val="3A125E82"/>
    <w:rsid w:val="3AD623C7"/>
    <w:rsid w:val="3B1F0857"/>
    <w:rsid w:val="3B404329"/>
    <w:rsid w:val="3B6A75F8"/>
    <w:rsid w:val="3C5B59CD"/>
    <w:rsid w:val="3D060E34"/>
    <w:rsid w:val="3D3207AF"/>
    <w:rsid w:val="3EC55271"/>
    <w:rsid w:val="3EE146BD"/>
    <w:rsid w:val="3FAC4683"/>
    <w:rsid w:val="3FB145E6"/>
    <w:rsid w:val="40661362"/>
    <w:rsid w:val="40FE4A6B"/>
    <w:rsid w:val="41847666"/>
    <w:rsid w:val="41B95C57"/>
    <w:rsid w:val="42002A64"/>
    <w:rsid w:val="420B38E3"/>
    <w:rsid w:val="42B43BE3"/>
    <w:rsid w:val="43C81360"/>
    <w:rsid w:val="43E25A53"/>
    <w:rsid w:val="43F860E9"/>
    <w:rsid w:val="44F36442"/>
    <w:rsid w:val="45570BED"/>
    <w:rsid w:val="463D7DBF"/>
    <w:rsid w:val="46886661"/>
    <w:rsid w:val="470D6E20"/>
    <w:rsid w:val="475C698F"/>
    <w:rsid w:val="477C2B8D"/>
    <w:rsid w:val="47F46BC7"/>
    <w:rsid w:val="481B4154"/>
    <w:rsid w:val="4A6862A9"/>
    <w:rsid w:val="4A977E75"/>
    <w:rsid w:val="4AB92F78"/>
    <w:rsid w:val="4B6127C6"/>
    <w:rsid w:val="4C2757BD"/>
    <w:rsid w:val="4C2D7D37"/>
    <w:rsid w:val="4C3F745B"/>
    <w:rsid w:val="4C584757"/>
    <w:rsid w:val="4C6B4F7E"/>
    <w:rsid w:val="4CD314A1"/>
    <w:rsid w:val="4D81300F"/>
    <w:rsid w:val="4D8C5589"/>
    <w:rsid w:val="4DB7543F"/>
    <w:rsid w:val="4E9E163B"/>
    <w:rsid w:val="4EC64C1E"/>
    <w:rsid w:val="4EE50510"/>
    <w:rsid w:val="4FFA0AF3"/>
    <w:rsid w:val="50096F88"/>
    <w:rsid w:val="50257B2F"/>
    <w:rsid w:val="516C5A20"/>
    <w:rsid w:val="51AD6F72"/>
    <w:rsid w:val="51E952C3"/>
    <w:rsid w:val="52397FF8"/>
    <w:rsid w:val="52546BE0"/>
    <w:rsid w:val="52F43F1F"/>
    <w:rsid w:val="531C6FD2"/>
    <w:rsid w:val="53562EFC"/>
    <w:rsid w:val="535E75EB"/>
    <w:rsid w:val="54A4006F"/>
    <w:rsid w:val="54D758A7"/>
    <w:rsid w:val="54F71AA5"/>
    <w:rsid w:val="54FE3235"/>
    <w:rsid w:val="550066FC"/>
    <w:rsid w:val="550A5C7C"/>
    <w:rsid w:val="55760C1C"/>
    <w:rsid w:val="55C53951"/>
    <w:rsid w:val="56101070"/>
    <w:rsid w:val="56F655A6"/>
    <w:rsid w:val="57EA56DD"/>
    <w:rsid w:val="580E7831"/>
    <w:rsid w:val="58222544"/>
    <w:rsid w:val="58B45003"/>
    <w:rsid w:val="58C471F6"/>
    <w:rsid w:val="59A10231"/>
    <w:rsid w:val="5A8D7133"/>
    <w:rsid w:val="5AAC55C3"/>
    <w:rsid w:val="5AB16F89"/>
    <w:rsid w:val="5AFE3B8D"/>
    <w:rsid w:val="5B0E7B48"/>
    <w:rsid w:val="5B2335F4"/>
    <w:rsid w:val="5B387889"/>
    <w:rsid w:val="5BAF6FF5"/>
    <w:rsid w:val="5BDF1E6F"/>
    <w:rsid w:val="5C466286"/>
    <w:rsid w:val="5C490046"/>
    <w:rsid w:val="5C56060B"/>
    <w:rsid w:val="5C6914DA"/>
    <w:rsid w:val="5C9C18B0"/>
    <w:rsid w:val="5CE40B61"/>
    <w:rsid w:val="5CEE5E83"/>
    <w:rsid w:val="5CFC40FC"/>
    <w:rsid w:val="5D102508"/>
    <w:rsid w:val="5D1F603D"/>
    <w:rsid w:val="5D395350"/>
    <w:rsid w:val="5DDB1F64"/>
    <w:rsid w:val="5E176D14"/>
    <w:rsid w:val="5E442CB7"/>
    <w:rsid w:val="5E826883"/>
    <w:rsid w:val="5FE33352"/>
    <w:rsid w:val="60193851"/>
    <w:rsid w:val="608C5797"/>
    <w:rsid w:val="608D7D83"/>
    <w:rsid w:val="60A30D33"/>
    <w:rsid w:val="60AF1486"/>
    <w:rsid w:val="60C34F31"/>
    <w:rsid w:val="62053A53"/>
    <w:rsid w:val="62081284"/>
    <w:rsid w:val="62512331"/>
    <w:rsid w:val="630570FB"/>
    <w:rsid w:val="63400ABB"/>
    <w:rsid w:val="636B1E5A"/>
    <w:rsid w:val="63D57455"/>
    <w:rsid w:val="64964E36"/>
    <w:rsid w:val="64DD41C0"/>
    <w:rsid w:val="64E94B1D"/>
    <w:rsid w:val="64F14763"/>
    <w:rsid w:val="655C0FC0"/>
    <w:rsid w:val="65683693"/>
    <w:rsid w:val="65915CA1"/>
    <w:rsid w:val="65960FB4"/>
    <w:rsid w:val="659F5F6D"/>
    <w:rsid w:val="666E09BD"/>
    <w:rsid w:val="668428CE"/>
    <w:rsid w:val="674C78CE"/>
    <w:rsid w:val="678F3DBF"/>
    <w:rsid w:val="67F51E74"/>
    <w:rsid w:val="68091DC3"/>
    <w:rsid w:val="6837248C"/>
    <w:rsid w:val="689D203C"/>
    <w:rsid w:val="68CC52CB"/>
    <w:rsid w:val="68E048D2"/>
    <w:rsid w:val="696109C9"/>
    <w:rsid w:val="6A731776"/>
    <w:rsid w:val="6A7A6FA8"/>
    <w:rsid w:val="6AD40467"/>
    <w:rsid w:val="6AE21D95"/>
    <w:rsid w:val="6B1C55A7"/>
    <w:rsid w:val="6B4D1FC7"/>
    <w:rsid w:val="6B80414A"/>
    <w:rsid w:val="6C150D37"/>
    <w:rsid w:val="6C303DC2"/>
    <w:rsid w:val="6CD45A73"/>
    <w:rsid w:val="6D0C7D2C"/>
    <w:rsid w:val="6DBD1686"/>
    <w:rsid w:val="6E1B3882"/>
    <w:rsid w:val="6EBC7B8F"/>
    <w:rsid w:val="6EDE6C73"/>
    <w:rsid w:val="6F3C2A7E"/>
    <w:rsid w:val="6F810491"/>
    <w:rsid w:val="6F963F3C"/>
    <w:rsid w:val="706C1141"/>
    <w:rsid w:val="708211C2"/>
    <w:rsid w:val="71033854"/>
    <w:rsid w:val="711B517D"/>
    <w:rsid w:val="71663BD0"/>
    <w:rsid w:val="72005BB2"/>
    <w:rsid w:val="72181581"/>
    <w:rsid w:val="72253C9E"/>
    <w:rsid w:val="725A1583"/>
    <w:rsid w:val="72600832"/>
    <w:rsid w:val="72D80D10"/>
    <w:rsid w:val="72EA752B"/>
    <w:rsid w:val="73092D2E"/>
    <w:rsid w:val="73281A37"/>
    <w:rsid w:val="73543D2B"/>
    <w:rsid w:val="73852C46"/>
    <w:rsid w:val="738D5656"/>
    <w:rsid w:val="739D15C2"/>
    <w:rsid w:val="746C5BB4"/>
    <w:rsid w:val="75AC1B02"/>
    <w:rsid w:val="76023928"/>
    <w:rsid w:val="761F4817"/>
    <w:rsid w:val="763B3A90"/>
    <w:rsid w:val="76634D94"/>
    <w:rsid w:val="771A0A70"/>
    <w:rsid w:val="77C655DB"/>
    <w:rsid w:val="782859C3"/>
    <w:rsid w:val="78304906"/>
    <w:rsid w:val="784732DF"/>
    <w:rsid w:val="7885437E"/>
    <w:rsid w:val="78FB1A1B"/>
    <w:rsid w:val="79020895"/>
    <w:rsid w:val="79515378"/>
    <w:rsid w:val="79DE7879"/>
    <w:rsid w:val="7A9153FC"/>
    <w:rsid w:val="7AED2E7F"/>
    <w:rsid w:val="7AF1296F"/>
    <w:rsid w:val="7B576234"/>
    <w:rsid w:val="7B6C36A5"/>
    <w:rsid w:val="7C3D3992"/>
    <w:rsid w:val="7CC86018"/>
    <w:rsid w:val="7D3B4375"/>
    <w:rsid w:val="7D4C0330"/>
    <w:rsid w:val="7D581A8C"/>
    <w:rsid w:val="7D8A5FFB"/>
    <w:rsid w:val="7E682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beforeAutospacing="0" w:after="260" w:afterAutospacing="0" w:line="413" w:lineRule="auto"/>
      <w:outlineLvl w:val="1"/>
    </w:pPr>
    <w:rPr>
      <w:rFonts w:ascii="Arial" w:hAnsi="Arial" w:eastAsia="黑体"/>
      <w:b/>
      <w:sz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8"/>
    <w:qFormat/>
    <w:uiPriority w:val="99"/>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after="150"/>
      <w:jc w:val="left"/>
    </w:pPr>
    <w:rPr>
      <w:kern w:val="0"/>
      <w:sz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FollowedHyperlink"/>
    <w:basedOn w:val="9"/>
    <w:qFormat/>
    <w:uiPriority w:val="0"/>
    <w:rPr>
      <w:color w:val="1278D2"/>
      <w:sz w:val="24"/>
      <w:szCs w:val="24"/>
      <w:u w:val="none"/>
    </w:rPr>
  </w:style>
  <w:style w:type="character" w:styleId="13">
    <w:name w:val="HTML Definition"/>
    <w:basedOn w:val="9"/>
    <w:qFormat/>
    <w:uiPriority w:val="0"/>
    <w:rPr>
      <w:i/>
      <w:iCs/>
    </w:rPr>
  </w:style>
  <w:style w:type="character" w:styleId="14">
    <w:name w:val="Hyperlink"/>
    <w:basedOn w:val="9"/>
    <w:qFormat/>
    <w:uiPriority w:val="0"/>
    <w:rPr>
      <w:color w:val="333333"/>
      <w:sz w:val="24"/>
      <w:szCs w:val="24"/>
      <w:u w:val="none"/>
    </w:rPr>
  </w:style>
  <w:style w:type="character" w:styleId="15">
    <w:name w:val="HTML Code"/>
    <w:basedOn w:val="9"/>
    <w:qFormat/>
    <w:uiPriority w:val="0"/>
    <w:rPr>
      <w:rFonts w:ascii="Consolas" w:hAnsi="Consolas" w:eastAsia="Consolas" w:cs="Consolas"/>
      <w:color w:val="C7254E"/>
      <w:sz w:val="21"/>
      <w:szCs w:val="21"/>
      <w:shd w:val="clear" w:color="auto" w:fill="F9F2F4"/>
    </w:rPr>
  </w:style>
  <w:style w:type="character" w:styleId="16">
    <w:name w:val="HTML Keyboard"/>
    <w:basedOn w:val="9"/>
    <w:qFormat/>
    <w:uiPriority w:val="0"/>
    <w:rPr>
      <w:rFonts w:hint="default" w:ascii="Consolas" w:hAnsi="Consolas" w:eastAsia="Consolas" w:cs="Consolas"/>
      <w:color w:val="FFFFFF"/>
      <w:sz w:val="21"/>
      <w:szCs w:val="21"/>
      <w:shd w:val="clear" w:color="auto" w:fill="333333"/>
    </w:rPr>
  </w:style>
  <w:style w:type="character" w:styleId="17">
    <w:name w:val="HTML Sample"/>
    <w:basedOn w:val="9"/>
    <w:qFormat/>
    <w:uiPriority w:val="0"/>
    <w:rPr>
      <w:rFonts w:hint="default" w:ascii="Consolas" w:hAnsi="Consolas" w:eastAsia="Consolas" w:cs="Consolas"/>
      <w:sz w:val="21"/>
      <w:szCs w:val="21"/>
    </w:rPr>
  </w:style>
  <w:style w:type="character" w:customStyle="1" w:styleId="18">
    <w:name w:val="页脚 字符"/>
    <w:link w:val="5"/>
    <w:qFormat/>
    <w:uiPriority w:val="99"/>
    <w:rPr>
      <w:rFonts w:eastAsia="宋体"/>
      <w:kern w:val="2"/>
      <w:sz w:val="18"/>
      <w:szCs w:val="18"/>
      <w:lang w:val="en-US" w:eastAsia="zh-CN" w:bidi="ar-SA"/>
    </w:rPr>
  </w:style>
  <w:style w:type="character" w:customStyle="1" w:styleId="19">
    <w:name w:val="页眉 字符"/>
    <w:link w:val="6"/>
    <w:qFormat/>
    <w:uiPriority w:val="0"/>
    <w:rPr>
      <w:rFonts w:eastAsia="宋体"/>
      <w:kern w:val="2"/>
      <w:sz w:val="18"/>
      <w:szCs w:val="18"/>
      <w:lang w:val="en-US" w:eastAsia="zh-CN" w:bidi="ar-SA"/>
    </w:rPr>
  </w:style>
  <w:style w:type="character" w:customStyle="1" w:styleId="20">
    <w:name w:val="before"/>
    <w:basedOn w:val="9"/>
    <w:qFormat/>
    <w:uiPriority w:val="0"/>
    <w:rPr>
      <w:shd w:val="clear" w:color="auto" w:fill="4C5462"/>
    </w:rPr>
  </w:style>
  <w:style w:type="character" w:customStyle="1" w:styleId="21">
    <w:name w:val="after"/>
    <w:basedOn w:val="9"/>
    <w:qFormat/>
    <w:uiPriority w:val="0"/>
    <w:rPr>
      <w:shd w:val="clear" w:color="auto" w:fill="4C5462"/>
    </w:rPr>
  </w:style>
  <w:style w:type="character" w:customStyle="1" w:styleId="22">
    <w:name w:val="wpcf7-not-valid-tip"/>
    <w:basedOn w:val="9"/>
    <w:qFormat/>
    <w:uiPriority w:val="0"/>
    <w:rPr>
      <w:color w:val="FF0000"/>
      <w:sz w:val="21"/>
      <w:szCs w:val="21"/>
    </w:rPr>
  </w:style>
  <w:style w:type="character" w:customStyle="1" w:styleId="23">
    <w:name w:val="wpcf7-list-item"/>
    <w:basedOn w:val="9"/>
    <w:qFormat/>
    <w:uiPriority w:val="0"/>
  </w:style>
  <w:style w:type="character" w:customStyle="1" w:styleId="24">
    <w:name w:val="wpcf7-not-valid-tip1"/>
    <w:basedOn w:val="9"/>
    <w:qFormat/>
    <w:uiPriority w:val="0"/>
    <w:rPr>
      <w:bdr w:val="single" w:color="FF0000" w:sz="6" w:space="0"/>
      <w:shd w:val="clear" w:color="auto" w:fill="FFFFFF"/>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5706</Words>
  <Characters>6202</Characters>
  <Lines>5</Lines>
  <Paragraphs>11</Paragraphs>
  <TotalTime>3</TotalTime>
  <ScaleCrop>false</ScaleCrop>
  <LinksUpToDate>false</LinksUpToDate>
  <CharactersWithSpaces>6280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2018-07-23T22:54:00Z</dcterms:created>
  <dc:creator>莫先孔</dc:creator>
  <cp:lastModifiedBy>闭海艳</cp:lastModifiedBy>
  <cp:lastPrinted>2023-08-30T07:56:14Z</cp:lastPrinted>
  <dcterms:modified xsi:type="dcterms:W3CDTF">2023-08-30T07:57:31Z</dcterms:modified>
  <dc:title>附件：（部门决算公开格式）</dc:title>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ADD3AACBA80B483D921B759AD57D4C2B</vt:lpwstr>
  </property>
</Properties>
</file>